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2AE82DA8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„Dostawa</w:t>
            </w:r>
            <w:r w:rsidR="009213D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  <w:proofErr w:type="spellStart"/>
            <w:r w:rsidR="009213D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wizualizerów</w:t>
            </w:r>
            <w:proofErr w:type="spellEnd"/>
            <w:r w:rsidR="009213D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– 4 szt</w:t>
            </w:r>
            <w:r w:rsidR="00453A7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0DDC49B5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9213D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58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.2023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4E2C181D" w14:textId="77777777" w:rsidR="00C45E70" w:rsidRPr="00E054BA" w:rsidRDefault="00C45E70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D24DD9" w14:textId="5C015E43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8A27C7" w14:textId="77777777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B9E25D" w14:textId="28BC24EB" w:rsidR="00C45E70" w:rsidRDefault="00C45E70" w:rsidP="00501F30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</w:p>
    <w:p w14:paraId="536A7951" w14:textId="3E24C54D" w:rsidR="007B551E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6B5B549" w14:textId="626F11E6" w:rsidR="004C1290" w:rsidRDefault="008C0FA1" w:rsidP="007A751D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</w:p>
    <w:p w14:paraId="577194A3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</w:t>
      </w:r>
    </w:p>
    <w:p w14:paraId="709A527A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DE2C773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18CDE3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22D2548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EB4D33A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5B6C019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9A90519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BBDE77E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CBCED1D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371872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ED1E124" w14:textId="77777777" w:rsidR="00501F3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32A84E" w14:textId="1A9F04E7" w:rsidR="004C1290" w:rsidRPr="004C1290" w:rsidRDefault="00501F30" w:rsidP="00501F30">
      <w:pPr>
        <w:ind w:left="4956" w:right="282" w:firstLine="708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</w:t>
      </w:r>
      <w:r w:rsidR="004C1290"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646160E" w14:textId="59C8F9D7" w:rsidR="00C45E70" w:rsidRDefault="00C45E70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E259662" w14:textId="77777777" w:rsidR="00C45E70" w:rsidRDefault="00C45E70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24F9E0E" w14:textId="77777777" w:rsidR="00501F30" w:rsidRDefault="00501F30" w:rsidP="007A751D">
      <w:pPr>
        <w:ind w:left="0" w:firstLine="708"/>
        <w:jc w:val="righ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Prorektor ds. Nauki i Finansów </w:t>
      </w:r>
    </w:p>
    <w:p w14:paraId="06CCDE78" w14:textId="618BCBE9" w:rsidR="007A751D" w:rsidRPr="00C62E08" w:rsidRDefault="00501F30" w:rsidP="007A751D">
      <w:pPr>
        <w:ind w:left="0" w:firstLine="708"/>
        <w:jc w:val="right"/>
        <w:rPr>
          <w:rFonts w:eastAsia="Calibri" w:cs="Arial"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– prof. dr hab. Michał </w:t>
      </w:r>
      <w:proofErr w:type="spellStart"/>
      <w:r>
        <w:rPr>
          <w:rFonts w:eastAsia="Calibri" w:cs="Arial"/>
          <w:szCs w:val="20"/>
          <w:lang w:eastAsia="pl-PL"/>
        </w:rPr>
        <w:t>Daszykowski</w:t>
      </w:r>
      <w:proofErr w:type="spellEnd"/>
    </w:p>
    <w:p w14:paraId="7F83A37C" w14:textId="77777777" w:rsidR="003F4892" w:rsidRDefault="003F4892" w:rsidP="00420B69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4D6EE252" w:rsidR="00F85C46" w:rsidRPr="00E054BA" w:rsidRDefault="009E0ED6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sierpień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3F4892">
        <w:rPr>
          <w:rFonts w:eastAsia="Calibri" w:cs="Arial"/>
          <w:color w:val="222A35" w:themeColor="text2" w:themeShade="80"/>
          <w:szCs w:val="20"/>
          <w:lang w:eastAsia="pl-PL"/>
        </w:rPr>
        <w:t>3</w:t>
      </w:r>
    </w:p>
    <w:p w14:paraId="23BA54DF" w14:textId="77777777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2F569AB2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10608FE6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535A5A8A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40A3EAE6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5D370ACF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47159E45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097269F1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75992BA8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10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23029BC5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4CB4BB66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16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50F5D281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7B309B19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2BF21150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053758E7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20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1C73F3BC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21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4B9388D0" w:rsidR="007A751D" w:rsidRPr="007A751D" w:rsidRDefault="00B15EC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B47927">
          <w:rPr>
            <w:rFonts w:ascii="Bahnschrift" w:hAnsi="Bahnschrift"/>
            <w:noProof/>
            <w:webHidden/>
            <w:sz w:val="20"/>
          </w:rPr>
          <w:t>22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30C2DF8C" w14:textId="77777777" w:rsidR="00636F3B" w:rsidRPr="00E83039" w:rsidRDefault="00636F3B" w:rsidP="00636F3B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5B5BDF" w:rsidRDefault="00F85C46" w:rsidP="00636F3B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96068004"/>
      <w:r w:rsidRPr="005B5BDF">
        <w:lastRenderedPageBreak/>
        <w:t>Postanowienia ogólne</w:t>
      </w:r>
      <w:bookmarkEnd w:id="0"/>
      <w:bookmarkEnd w:id="1"/>
      <w:bookmarkEnd w:id="2"/>
      <w:r w:rsidRPr="005B5BDF">
        <w:t>.</w:t>
      </w:r>
      <w:bookmarkStart w:id="4" w:name="_Toc362736425"/>
      <w:bookmarkEnd w:id="3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4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5C328A30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315AF6">
        <w:rPr>
          <w:lang w:eastAsia="pl-PL"/>
        </w:rPr>
        <w:t>3</w:t>
      </w:r>
      <w:r w:rsidR="00C0411E">
        <w:rPr>
          <w:lang w:eastAsia="pl-PL"/>
        </w:rPr>
        <w:t xml:space="preserve"> poz. 1</w:t>
      </w:r>
      <w:r w:rsidR="00315AF6">
        <w:rPr>
          <w:lang w:eastAsia="pl-PL"/>
        </w:rPr>
        <w:t>605</w:t>
      </w:r>
      <w:r w:rsidR="00C0411E">
        <w:rPr>
          <w:lang w:eastAsia="pl-PL"/>
        </w:rPr>
        <w:t xml:space="preserve"> z </w:t>
      </w:r>
      <w:proofErr w:type="spellStart"/>
      <w:r w:rsidR="00C0411E">
        <w:rPr>
          <w:lang w:eastAsia="pl-PL"/>
        </w:rPr>
        <w:t>późn</w:t>
      </w:r>
      <w:proofErr w:type="spellEnd"/>
      <w:r w:rsidR="00C0411E">
        <w:rPr>
          <w:lang w:eastAsia="pl-PL"/>
        </w:rPr>
        <w:t>. zm</w:t>
      </w:r>
      <w:r w:rsidRPr="005B5BDF">
        <w:rPr>
          <w:rFonts w:eastAsia="Calibri"/>
        </w:rPr>
        <w:t xml:space="preserve">.) zwana dalej „ustawą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67194D92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215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 xml:space="preserve">i jest prowadzone w trybie podstawowym bez negocjacji w rozumieniu art. 275 pkt 1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 xml:space="preserve"> (wariant I)</w:t>
      </w:r>
      <w:r w:rsidR="007051BA">
        <w:rPr>
          <w:rFonts w:eastAsia="Calibri"/>
        </w:rPr>
        <w:t xml:space="preserve"> oraz z uwzględnieniem przepisów Działu II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 xml:space="preserve">, na podstawie przepisu art. 266 ustawy </w:t>
      </w:r>
      <w:proofErr w:type="spellStart"/>
      <w:r w:rsidR="007051BA">
        <w:rPr>
          <w:rFonts w:eastAsia="Calibri"/>
        </w:rPr>
        <w:t>Pzp</w:t>
      </w:r>
      <w:proofErr w:type="spellEnd"/>
      <w:r w:rsidR="007051BA">
        <w:rPr>
          <w:rFonts w:eastAsia="Calibri"/>
        </w:rPr>
        <w:t>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1B1FB8B9" w:rsidR="000E5D19" w:rsidRDefault="00F85C46" w:rsidP="00315AF6">
      <w:pPr>
        <w:pStyle w:val="Nagwek3"/>
        <w:numPr>
          <w:ilvl w:val="0"/>
          <w:numId w:val="35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 „</w:t>
      </w:r>
      <w:r w:rsidR="00E81D74" w:rsidRPr="00FC0CC1">
        <w:rPr>
          <w:rFonts w:eastAsia="Calibri"/>
          <w:b/>
        </w:rPr>
        <w:t xml:space="preserve">Dostawa </w:t>
      </w:r>
      <w:proofErr w:type="spellStart"/>
      <w:r w:rsidR="00F813B7">
        <w:rPr>
          <w:rFonts w:eastAsia="Calibri"/>
          <w:b/>
        </w:rPr>
        <w:t>wizualizerów</w:t>
      </w:r>
      <w:proofErr w:type="spellEnd"/>
      <w:r w:rsidR="00F813B7">
        <w:rPr>
          <w:rFonts w:eastAsia="Calibri"/>
          <w:b/>
        </w:rPr>
        <w:t xml:space="preserve"> – 4 szt.</w:t>
      </w:r>
      <w:r w:rsidR="00103256" w:rsidRPr="005B5BDF">
        <w:rPr>
          <w:rFonts w:eastAsia="Calibri"/>
        </w:rPr>
        <w:t>”;</w:t>
      </w:r>
    </w:p>
    <w:p w14:paraId="36AC7892" w14:textId="1060A6EF" w:rsidR="00F813B7" w:rsidRDefault="00F85C46" w:rsidP="00315AF6">
      <w:pPr>
        <w:pStyle w:val="Nagwek3"/>
        <w:numPr>
          <w:ilvl w:val="0"/>
          <w:numId w:val="35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2.1.</w:t>
      </w:r>
      <w:r w:rsidR="00F813B7">
        <w:rPr>
          <w:b/>
        </w:rPr>
        <w:t>58</w:t>
      </w:r>
      <w:r w:rsidR="003F4892">
        <w:rPr>
          <w:b/>
        </w:rPr>
        <w:t>.2023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21FF7BFB" w14:textId="58F047E3" w:rsidR="00F813B7" w:rsidRPr="00F813B7" w:rsidRDefault="00797F7F" w:rsidP="00315AF6">
      <w:pPr>
        <w:pStyle w:val="Nagwek3"/>
        <w:numPr>
          <w:ilvl w:val="0"/>
          <w:numId w:val="35"/>
        </w:numPr>
        <w:ind w:left="567" w:hanging="284"/>
        <w:contextualSpacing w:val="0"/>
      </w:pPr>
      <w:r w:rsidRPr="00F813B7">
        <w:t>Przedmiot zamówienia jest realizowany w ramach projektu pt.</w:t>
      </w:r>
      <w:r w:rsidR="00EE70FA">
        <w:t>:</w:t>
      </w:r>
      <w:r w:rsidRPr="00F813B7">
        <w:t xml:space="preserve"> </w:t>
      </w:r>
      <w:bookmarkStart w:id="5" w:name="_Hlk143604833"/>
      <w:r w:rsidR="00F813B7" w:rsidRPr="00F813B7">
        <w:rPr>
          <w:b/>
        </w:rPr>
        <w:t>„</w:t>
      </w:r>
      <w:proofErr w:type="spellStart"/>
      <w:r w:rsidR="00F813B7" w:rsidRPr="00F813B7">
        <w:rPr>
          <w:b/>
        </w:rPr>
        <w:t>SPINplace</w:t>
      </w:r>
      <w:proofErr w:type="spellEnd"/>
      <w:r w:rsidR="00F813B7" w:rsidRPr="00F813B7">
        <w:rPr>
          <w:b/>
        </w:rPr>
        <w:t xml:space="preserve"> – centrum kreatywności i coworkingu”</w:t>
      </w:r>
      <w:r w:rsidR="00F813B7" w:rsidRPr="00F813B7">
        <w:t>, współfinansowanego przez Unię Europejską w ramach Regionalnego Programu Województwa Śląskiego na lata 2014-2020 (Europejskiego Funduszu Rozwoju Regionalnego), oś priorytetowa I. „Nowoczesna gospodarka”, działanie: 1.4 „Wsparcie ekosystemu innowacji”, poddziałanie 1.4.2 „Wsparcie regionalnych oraz lokalnych centrów kreatywności i innowacji”; nr umowy o dofinansowanie: UDA-RPSL.01.04.02-24-02G4/19-00.</w:t>
      </w:r>
    </w:p>
    <w:bookmarkEnd w:id="5"/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CD36BCD" w14:textId="3BD4DE2C" w:rsidR="005425C4" w:rsidRPr="002A41FD" w:rsidRDefault="00170642" w:rsidP="002A41FD">
      <w:pPr>
        <w:numPr>
          <w:ilvl w:val="0"/>
          <w:numId w:val="9"/>
        </w:numPr>
        <w:ind w:left="567" w:hanging="284"/>
        <w:outlineLvl w:val="1"/>
        <w:rPr>
          <w:rFonts w:cs="Arial"/>
          <w:bCs/>
          <w:szCs w:val="20"/>
          <w:lang w:eastAsia="pl-PL"/>
        </w:rPr>
      </w:pPr>
      <w:r w:rsidRPr="005B5BDF">
        <w:rPr>
          <w:rFonts w:cs="Arial"/>
          <w:bCs/>
          <w:szCs w:val="20"/>
          <w:lang w:eastAsia="pl-PL"/>
        </w:rPr>
        <w:t xml:space="preserve">Przedmiotem zamówienia </w:t>
      </w:r>
      <w:r w:rsidR="00CD466A">
        <w:rPr>
          <w:rFonts w:cs="Arial"/>
          <w:bCs/>
          <w:szCs w:val="20"/>
          <w:lang w:eastAsia="pl-PL"/>
        </w:rPr>
        <w:t>jest</w:t>
      </w:r>
      <w:r w:rsidRPr="005B5BDF">
        <w:rPr>
          <w:rFonts w:cs="Arial"/>
          <w:bCs/>
          <w:szCs w:val="20"/>
          <w:lang w:eastAsia="pl-PL"/>
        </w:rPr>
        <w:t xml:space="preserve"> dost</w:t>
      </w:r>
      <w:r w:rsidR="00891B36" w:rsidRPr="005B5BDF">
        <w:rPr>
          <w:rFonts w:cs="Arial"/>
          <w:bCs/>
          <w:szCs w:val="20"/>
          <w:lang w:eastAsia="pl-PL"/>
        </w:rPr>
        <w:t>aw</w:t>
      </w:r>
      <w:r w:rsidR="00CD466A">
        <w:rPr>
          <w:rFonts w:cs="Arial"/>
          <w:bCs/>
          <w:szCs w:val="20"/>
          <w:lang w:eastAsia="pl-PL"/>
        </w:rPr>
        <w:t>a</w:t>
      </w:r>
      <w:r w:rsidR="00BB22B4">
        <w:rPr>
          <w:rFonts w:cs="Arial"/>
          <w:bCs/>
          <w:szCs w:val="20"/>
          <w:lang w:eastAsia="pl-PL"/>
        </w:rPr>
        <w:t xml:space="preserve"> </w:t>
      </w:r>
      <w:r w:rsidR="00AA477E">
        <w:rPr>
          <w:rFonts w:cs="Arial"/>
          <w:bCs/>
          <w:szCs w:val="20"/>
          <w:lang w:eastAsia="pl-PL"/>
        </w:rPr>
        <w:t xml:space="preserve">4 sztuk </w:t>
      </w:r>
      <w:proofErr w:type="spellStart"/>
      <w:r w:rsidR="00BB22B4">
        <w:rPr>
          <w:rFonts w:cs="Arial"/>
          <w:bCs/>
          <w:szCs w:val="20"/>
          <w:lang w:eastAsia="pl-PL"/>
        </w:rPr>
        <w:t>wizualizerów</w:t>
      </w:r>
      <w:proofErr w:type="spellEnd"/>
      <w:r w:rsidR="00FA39C3">
        <w:rPr>
          <w:rFonts w:cs="Arial"/>
          <w:b/>
          <w:bCs/>
          <w:szCs w:val="20"/>
          <w:lang w:eastAsia="pl-PL"/>
        </w:rPr>
        <w:t>,</w:t>
      </w:r>
      <w:r w:rsidR="009C4387" w:rsidRPr="009C4387">
        <w:rPr>
          <w:rFonts w:cs="Arial"/>
          <w:bCs/>
          <w:szCs w:val="20"/>
          <w:lang w:eastAsia="pl-PL"/>
        </w:rPr>
        <w:t xml:space="preserve"> określon</w:t>
      </w:r>
      <w:r w:rsidR="00AA477E">
        <w:rPr>
          <w:rFonts w:cs="Arial"/>
          <w:bCs/>
          <w:szCs w:val="20"/>
          <w:lang w:eastAsia="pl-PL"/>
        </w:rPr>
        <w:t>ych</w:t>
      </w:r>
      <w:r w:rsidR="009C4387" w:rsidRPr="009C4387">
        <w:rPr>
          <w:rFonts w:cs="Arial"/>
          <w:bCs/>
          <w:szCs w:val="20"/>
          <w:lang w:eastAsia="pl-PL"/>
        </w:rPr>
        <w:t xml:space="preserve"> w załączniku nr </w:t>
      </w:r>
      <w:r w:rsidR="00C45E70">
        <w:rPr>
          <w:rFonts w:cs="Arial"/>
          <w:bCs/>
          <w:szCs w:val="20"/>
          <w:lang w:eastAsia="pl-PL"/>
        </w:rPr>
        <w:t>2</w:t>
      </w:r>
      <w:r w:rsidR="009C4387" w:rsidRPr="009C4387">
        <w:rPr>
          <w:rFonts w:cs="Arial"/>
          <w:bCs/>
          <w:szCs w:val="20"/>
          <w:lang w:eastAsia="pl-PL"/>
        </w:rPr>
        <w:t xml:space="preserve"> do SWZ</w:t>
      </w:r>
      <w:r w:rsidR="002A41FD">
        <w:rPr>
          <w:rFonts w:cs="Arial"/>
          <w:bCs/>
          <w:szCs w:val="20"/>
          <w:lang w:eastAsia="pl-PL"/>
        </w:rPr>
        <w:t>,</w:t>
      </w:r>
      <w:r w:rsidR="009C4387" w:rsidRPr="002A41FD">
        <w:rPr>
          <w:rFonts w:cs="Arial"/>
          <w:bCs/>
          <w:szCs w:val="20"/>
          <w:lang w:eastAsia="pl-PL"/>
        </w:rPr>
        <w:t xml:space="preserve"> zwan</w:t>
      </w:r>
      <w:r w:rsidR="00126D47">
        <w:rPr>
          <w:rFonts w:cs="Arial"/>
          <w:bCs/>
          <w:szCs w:val="20"/>
          <w:lang w:eastAsia="pl-PL"/>
        </w:rPr>
        <w:t>ych</w:t>
      </w:r>
      <w:r w:rsidR="009C4387" w:rsidRPr="002A41FD">
        <w:rPr>
          <w:rFonts w:cs="Arial"/>
          <w:bCs/>
          <w:szCs w:val="20"/>
          <w:lang w:eastAsia="pl-PL"/>
        </w:rPr>
        <w:t xml:space="preserve"> dalej</w:t>
      </w:r>
      <w:r w:rsidR="0023734C" w:rsidRPr="002A41FD">
        <w:rPr>
          <w:rFonts w:cs="Arial"/>
          <w:bCs/>
          <w:szCs w:val="20"/>
          <w:lang w:eastAsia="pl-PL"/>
        </w:rPr>
        <w:t xml:space="preserve"> także</w:t>
      </w:r>
      <w:r w:rsidR="009C4387" w:rsidRPr="002A41FD">
        <w:rPr>
          <w:rFonts w:cs="Arial"/>
          <w:bCs/>
          <w:szCs w:val="20"/>
          <w:lang w:eastAsia="pl-PL"/>
        </w:rPr>
        <w:t>: „</w:t>
      </w:r>
      <w:r w:rsidR="00C45E70" w:rsidRPr="002A41FD">
        <w:rPr>
          <w:rFonts w:cs="Arial"/>
          <w:bCs/>
          <w:szCs w:val="20"/>
          <w:lang w:eastAsia="pl-PL"/>
        </w:rPr>
        <w:t>sprzętem</w:t>
      </w:r>
      <w:r w:rsidR="009C4387" w:rsidRPr="002A41FD">
        <w:rPr>
          <w:rFonts w:cs="Arial"/>
          <w:bCs/>
          <w:szCs w:val="20"/>
          <w:lang w:eastAsia="pl-PL"/>
        </w:rPr>
        <w:t>”</w:t>
      </w:r>
      <w:r w:rsidR="00CD466A" w:rsidRPr="002A41FD">
        <w:rPr>
          <w:rFonts w:cs="Arial"/>
          <w:bCs/>
          <w:szCs w:val="20"/>
          <w:lang w:eastAsia="pl-PL"/>
        </w:rPr>
        <w:t xml:space="preserve"> lub „przedmiotem zamówienia”</w:t>
      </w:r>
      <w:r w:rsidR="00FA39C3" w:rsidRPr="002A41FD">
        <w:rPr>
          <w:rFonts w:cs="Arial"/>
          <w:b/>
          <w:bCs/>
          <w:szCs w:val="20"/>
          <w:lang w:eastAsia="pl-PL"/>
        </w:rPr>
        <w:t>.</w:t>
      </w:r>
    </w:p>
    <w:p w14:paraId="51AD58B9" w14:textId="1F312618" w:rsidR="00170642" w:rsidRDefault="007B66D6" w:rsidP="00315AF6">
      <w:pPr>
        <w:pStyle w:val="Akapitzlist"/>
        <w:numPr>
          <w:ilvl w:val="3"/>
          <w:numId w:val="31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CD466A">
        <w:rPr>
          <w:rFonts w:eastAsia="Calibri" w:cs="Arial"/>
          <w:bCs/>
          <w:szCs w:val="20"/>
        </w:rPr>
        <w:t>Oferowan</w:t>
      </w:r>
      <w:r w:rsidR="00C45E70" w:rsidRPr="00CD466A">
        <w:rPr>
          <w:rFonts w:eastAsia="Calibri" w:cs="Arial"/>
          <w:bCs/>
          <w:szCs w:val="20"/>
        </w:rPr>
        <w:t>y</w:t>
      </w:r>
      <w:r w:rsidRPr="00CD466A">
        <w:rPr>
          <w:rFonts w:eastAsia="Calibri" w:cs="Arial"/>
          <w:bCs/>
          <w:szCs w:val="20"/>
        </w:rPr>
        <w:t xml:space="preserve"> </w:t>
      </w:r>
      <w:r w:rsidR="00C45E70" w:rsidRPr="00CD466A">
        <w:rPr>
          <w:rFonts w:eastAsia="Calibri" w:cs="Arial"/>
          <w:bCs/>
          <w:szCs w:val="20"/>
        </w:rPr>
        <w:t>sprzęt</w:t>
      </w:r>
      <w:r w:rsidRPr="00CD466A">
        <w:rPr>
          <w:rFonts w:eastAsia="Calibri" w:cs="Arial"/>
          <w:bCs/>
          <w:szCs w:val="20"/>
        </w:rPr>
        <w:t xml:space="preserve"> mus</w:t>
      </w:r>
      <w:r w:rsidR="00C45E70" w:rsidRPr="00CD466A">
        <w:rPr>
          <w:rFonts w:eastAsia="Calibri" w:cs="Arial"/>
          <w:bCs/>
          <w:szCs w:val="20"/>
        </w:rPr>
        <w:t>i</w:t>
      </w:r>
      <w:r w:rsidRPr="00CD466A">
        <w:rPr>
          <w:rFonts w:eastAsia="Calibri" w:cs="Arial"/>
          <w:bCs/>
          <w:szCs w:val="20"/>
        </w:rPr>
        <w:t xml:space="preserve"> być</w:t>
      </w:r>
      <w:r w:rsidR="00CD466A">
        <w:rPr>
          <w:rFonts w:eastAsia="Calibri" w:cs="Arial"/>
          <w:bCs/>
          <w:szCs w:val="20"/>
        </w:rPr>
        <w:t xml:space="preserve"> f</w:t>
      </w:r>
      <w:r w:rsidRPr="00CD466A">
        <w:rPr>
          <w:rFonts w:eastAsia="Calibri" w:cs="Arial"/>
          <w:bCs/>
          <w:szCs w:val="20"/>
        </w:rPr>
        <w:t>abrycznie now</w:t>
      </w:r>
      <w:r w:rsidR="00C45E70" w:rsidRPr="00CD466A">
        <w:rPr>
          <w:rFonts w:eastAsia="Calibri" w:cs="Arial"/>
          <w:bCs/>
          <w:szCs w:val="20"/>
        </w:rPr>
        <w:t>y</w:t>
      </w:r>
      <w:r w:rsidR="00CD466A" w:rsidRPr="00CD466A">
        <w:rPr>
          <w:rFonts w:eastAsia="Calibri" w:cs="Arial"/>
          <w:bCs/>
          <w:szCs w:val="20"/>
        </w:rPr>
        <w:t xml:space="preserve">, </w:t>
      </w:r>
      <w:bookmarkStart w:id="10" w:name="_Hlk136499786"/>
      <w:r w:rsidR="003F4892">
        <w:rPr>
          <w:rFonts w:eastAsia="Calibri" w:cs="Arial"/>
          <w:bCs/>
          <w:szCs w:val="20"/>
        </w:rPr>
        <w:t xml:space="preserve">nieużywany, </w:t>
      </w:r>
      <w:r w:rsidR="00170642" w:rsidRPr="00CD466A">
        <w:rPr>
          <w:rFonts w:eastAsia="Calibri" w:cs="Arial"/>
          <w:bCs/>
          <w:szCs w:val="20"/>
        </w:rPr>
        <w:t>pochodzić z bi</w:t>
      </w:r>
      <w:r w:rsidR="00BD2A81">
        <w:rPr>
          <w:rFonts w:eastAsia="Calibri" w:cs="Arial"/>
          <w:bCs/>
          <w:szCs w:val="20"/>
        </w:rPr>
        <w:t xml:space="preserve">eżącej produkcji (rok produkcji: </w:t>
      </w:r>
      <w:r w:rsidR="00C45E70" w:rsidRPr="00CD466A">
        <w:rPr>
          <w:rFonts w:eastAsia="Calibri" w:cs="Arial"/>
          <w:bCs/>
          <w:szCs w:val="20"/>
        </w:rPr>
        <w:t xml:space="preserve">nie wcześniej </w:t>
      </w:r>
      <w:r w:rsidR="00C45E70" w:rsidRPr="00492B8D">
        <w:rPr>
          <w:rFonts w:eastAsia="Calibri" w:cs="Arial"/>
          <w:bCs/>
          <w:szCs w:val="20"/>
        </w:rPr>
        <w:t>niż</w:t>
      </w:r>
      <w:r w:rsidR="00170642" w:rsidRPr="00492B8D">
        <w:rPr>
          <w:rFonts w:eastAsia="Calibri" w:cs="Arial"/>
          <w:bCs/>
          <w:szCs w:val="20"/>
        </w:rPr>
        <w:t xml:space="preserve"> 202</w:t>
      </w:r>
      <w:r w:rsidR="003F4892">
        <w:rPr>
          <w:rFonts w:eastAsia="Calibri" w:cs="Arial"/>
          <w:bCs/>
          <w:szCs w:val="20"/>
        </w:rPr>
        <w:t>2</w:t>
      </w:r>
      <w:r w:rsidR="00C0411E" w:rsidRPr="00492B8D">
        <w:rPr>
          <w:rFonts w:eastAsia="Calibri" w:cs="Arial"/>
          <w:bCs/>
          <w:szCs w:val="20"/>
        </w:rPr>
        <w:t>r.</w:t>
      </w:r>
      <w:r w:rsidR="00170642" w:rsidRPr="00492B8D">
        <w:rPr>
          <w:rFonts w:eastAsia="Calibri" w:cs="Arial"/>
          <w:bCs/>
          <w:szCs w:val="20"/>
        </w:rPr>
        <w:t>),</w:t>
      </w:r>
      <w:r w:rsidR="002278D2" w:rsidRPr="00CD466A">
        <w:rPr>
          <w:rFonts w:eastAsia="Calibri" w:cs="Arial"/>
          <w:bCs/>
          <w:szCs w:val="20"/>
        </w:rPr>
        <w:t xml:space="preserve"> </w:t>
      </w:r>
      <w:r w:rsidR="00170642" w:rsidRPr="00CD466A">
        <w:rPr>
          <w:rFonts w:eastAsia="Calibri" w:cs="Arial"/>
          <w:bCs/>
          <w:szCs w:val="20"/>
        </w:rPr>
        <w:t>posiadać stosowne certyfikaty</w:t>
      </w:r>
      <w:r w:rsidR="00C66B22" w:rsidRPr="00C66B22">
        <w:t xml:space="preserve"> </w:t>
      </w:r>
      <w:r w:rsidR="00C0411E" w:rsidRPr="00CD466A">
        <w:rPr>
          <w:rFonts w:eastAsia="Calibri" w:cs="Arial"/>
          <w:bCs/>
          <w:szCs w:val="20"/>
        </w:rPr>
        <w:t>dopuszcz</w:t>
      </w:r>
      <w:r w:rsidR="00CD466A" w:rsidRPr="00CD466A">
        <w:rPr>
          <w:rFonts w:eastAsia="Calibri" w:cs="Arial"/>
          <w:bCs/>
          <w:szCs w:val="20"/>
        </w:rPr>
        <w:t>ające go</w:t>
      </w:r>
      <w:r w:rsidR="00C0411E" w:rsidRPr="00CD466A">
        <w:rPr>
          <w:rFonts w:eastAsia="Calibri" w:cs="Arial"/>
          <w:bCs/>
          <w:szCs w:val="20"/>
        </w:rPr>
        <w:t xml:space="preserve"> </w:t>
      </w:r>
      <w:r w:rsidR="00170642" w:rsidRPr="00CD466A">
        <w:rPr>
          <w:rFonts w:eastAsia="Calibri" w:cs="Arial"/>
          <w:bCs/>
          <w:szCs w:val="20"/>
        </w:rPr>
        <w:t>do sprzedaży i</w:t>
      </w:r>
      <w:r w:rsidR="00382315" w:rsidRPr="00CD466A">
        <w:rPr>
          <w:rFonts w:eastAsia="Calibri" w:cs="Arial"/>
          <w:bCs/>
          <w:szCs w:val="20"/>
        </w:rPr>
        <w:t> </w:t>
      </w:r>
      <w:r w:rsidR="00C0411E" w:rsidRPr="00CD466A">
        <w:rPr>
          <w:rFonts w:eastAsia="Calibri" w:cs="Arial"/>
          <w:bCs/>
          <w:szCs w:val="20"/>
        </w:rPr>
        <w:t>użytkowania na terytorium RP</w:t>
      </w:r>
      <w:bookmarkEnd w:id="10"/>
      <w:r w:rsidR="00656AE8" w:rsidRPr="00CD466A">
        <w:rPr>
          <w:rFonts w:eastAsia="Calibri" w:cs="Arial"/>
          <w:bCs/>
          <w:szCs w:val="20"/>
        </w:rPr>
        <w:t>.</w:t>
      </w:r>
    </w:p>
    <w:p w14:paraId="69D833AE" w14:textId="77777777" w:rsidR="00664C22" w:rsidRPr="00664C22" w:rsidRDefault="00170642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rPr>
          <w:rFonts w:eastAsia="Calibri" w:cs="Arial"/>
          <w:szCs w:val="20"/>
        </w:rPr>
        <w:t>Zakres zamówienia</w:t>
      </w:r>
      <w:r w:rsidR="00664C22">
        <w:rPr>
          <w:rFonts w:eastAsia="Calibri" w:cs="Arial"/>
          <w:b w:val="0"/>
          <w:szCs w:val="20"/>
        </w:rPr>
        <w:t>:</w:t>
      </w:r>
    </w:p>
    <w:p w14:paraId="587FA96F" w14:textId="079AB073" w:rsidR="00C0411E" w:rsidRPr="00664C22" w:rsidRDefault="00664C22" w:rsidP="006B35B6">
      <w:pPr>
        <w:ind w:left="284"/>
        <w:rPr>
          <w:lang w:eastAsia="x-none"/>
        </w:rPr>
      </w:pPr>
      <w:r>
        <w:rPr>
          <w:lang w:eastAsia="x-none"/>
        </w:rPr>
        <w:t xml:space="preserve"> </w:t>
      </w:r>
      <w:r w:rsidR="006B35B6">
        <w:rPr>
          <w:lang w:eastAsia="x-none"/>
        </w:rPr>
        <w:t xml:space="preserve">    </w:t>
      </w:r>
      <w:r w:rsidRPr="00664C22">
        <w:rPr>
          <w:lang w:eastAsia="x-none"/>
        </w:rPr>
        <w:t xml:space="preserve">Zakres zamówienia </w:t>
      </w:r>
      <w:r w:rsidR="00170642" w:rsidRPr="00664C22">
        <w:rPr>
          <w:lang w:eastAsia="x-none"/>
        </w:rPr>
        <w:t>obe</w:t>
      </w:r>
      <w:r w:rsidR="00842750" w:rsidRPr="00664C22">
        <w:rPr>
          <w:lang w:eastAsia="x-none"/>
        </w:rPr>
        <w:t xml:space="preserve">jmuje </w:t>
      </w:r>
      <w:r>
        <w:rPr>
          <w:lang w:eastAsia="x-none"/>
        </w:rPr>
        <w:t xml:space="preserve">oprócz zakupu </w:t>
      </w:r>
      <w:r w:rsidR="00842750" w:rsidRPr="00664C22">
        <w:rPr>
          <w:lang w:eastAsia="x-none"/>
        </w:rPr>
        <w:t xml:space="preserve">również </w:t>
      </w:r>
      <w:r>
        <w:rPr>
          <w:lang w:eastAsia="x-none"/>
        </w:rPr>
        <w:t xml:space="preserve">transport </w:t>
      </w:r>
      <w:r w:rsidR="00170642" w:rsidRPr="00664C22">
        <w:rPr>
          <w:lang w:eastAsia="x-none"/>
        </w:rPr>
        <w:t>wraz z</w:t>
      </w:r>
      <w:r w:rsidR="00382315" w:rsidRPr="00664C22">
        <w:rPr>
          <w:lang w:eastAsia="x-none"/>
        </w:rPr>
        <w:t> </w:t>
      </w:r>
      <w:r w:rsidR="00170642" w:rsidRPr="00664C22">
        <w:rPr>
          <w:lang w:eastAsia="x-none"/>
        </w:rPr>
        <w:t>rozładunkiem</w:t>
      </w:r>
      <w:r w:rsidRPr="00664C22">
        <w:rPr>
          <w:lang w:eastAsia="x-none"/>
        </w:rPr>
        <w:t xml:space="preserve"> </w:t>
      </w:r>
      <w:r w:rsidR="003835A5" w:rsidRPr="00664C22">
        <w:rPr>
          <w:lang w:eastAsia="x-none"/>
        </w:rPr>
        <w:t xml:space="preserve">i </w:t>
      </w:r>
      <w:r w:rsidR="00170642" w:rsidRPr="00664C22">
        <w:rPr>
          <w:lang w:eastAsia="x-none"/>
        </w:rPr>
        <w:t>wniesieniem do miejsca wskazanego prz</w:t>
      </w:r>
      <w:r w:rsidR="00842750" w:rsidRPr="00664C22">
        <w:rPr>
          <w:lang w:eastAsia="x-none"/>
        </w:rPr>
        <w:t>ez Zamawiającego</w:t>
      </w:r>
      <w:r w:rsidR="003835A5" w:rsidRPr="00664C22">
        <w:rPr>
          <w:lang w:eastAsia="x-none"/>
        </w:rPr>
        <w:t>.</w:t>
      </w:r>
      <w:r w:rsidR="00C0411E" w:rsidRPr="00664C22">
        <w:rPr>
          <w:lang w:eastAsia="x-none"/>
        </w:rPr>
        <w:t xml:space="preserve"> Wykonawca zobowiązany jest zapewnić bezpłatny serwis gwarancyjny </w:t>
      </w:r>
      <w:r>
        <w:rPr>
          <w:lang w:eastAsia="x-none"/>
        </w:rPr>
        <w:t>sprzęt</w:t>
      </w:r>
      <w:r w:rsidR="0023734C">
        <w:rPr>
          <w:lang w:eastAsia="x-none"/>
        </w:rPr>
        <w:t>u</w:t>
      </w:r>
      <w:r w:rsidR="00656AE8" w:rsidRPr="00664C22">
        <w:rPr>
          <w:lang w:eastAsia="x-none"/>
        </w:rPr>
        <w:t>.</w:t>
      </w:r>
    </w:p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lastRenderedPageBreak/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77777777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535DBE86" w14:textId="17E72A31" w:rsidR="00E769ED" w:rsidRDefault="00126D47" w:rsidP="00E769ED">
      <w:pPr>
        <w:shd w:val="clear" w:color="auto" w:fill="FFFFFF"/>
        <w:ind w:left="567"/>
        <w:contextualSpacing/>
      </w:pPr>
      <w:r>
        <w:t>38652100-1</w:t>
      </w:r>
      <w:r w:rsidR="00E769ED">
        <w:t xml:space="preserve"> – </w:t>
      </w:r>
      <w:r>
        <w:t>projektory</w:t>
      </w:r>
      <w:r w:rsidR="00420B69">
        <w:t>,</w:t>
      </w:r>
    </w:p>
    <w:p w14:paraId="276985F9" w14:textId="4327B3B1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529A92C2" w14:textId="0CECF708" w:rsidR="00F85C46" w:rsidRPr="005B5BDF" w:rsidRDefault="00F85C46" w:rsidP="00E769ED">
      <w:pPr>
        <w:pStyle w:val="Nagwek4"/>
        <w:spacing w:before="0" w:after="0"/>
        <w:ind w:left="709" w:hanging="283"/>
        <w:contextualSpacing w:val="0"/>
      </w:pPr>
      <w:r w:rsidRPr="005B5BDF">
        <w:t>w przypadkach, kiedy w opisie przedmiotu zamówienia wskazane zostałyby znaki towarowe, patenty, pochodzenie, źródło lub szczególny proces, charakteryzujące określone produkty lub usługi, ozn</w:t>
      </w:r>
      <w:r w:rsidR="00515101" w:rsidRPr="005B5BDF">
        <w:t>acza to, że Zamawiający nie może</w:t>
      </w:r>
      <w:r w:rsidRPr="005B5BDF">
        <w:t xml:space="preserve"> opisać przedmiotu zamówienia</w:t>
      </w:r>
      <w:r w:rsidR="00515101" w:rsidRPr="005B5BDF">
        <w:t xml:space="preserve"> w</w:t>
      </w:r>
      <w:r w:rsidR="00382315" w:rsidRPr="005B5BDF">
        <w:rPr>
          <w:lang w:val="pl-PL"/>
        </w:rPr>
        <w:t> </w:t>
      </w:r>
      <w:r w:rsidR="00515101" w:rsidRPr="005B5BDF">
        <w:t xml:space="preserve">wystarczająco precyzyjny i zrozumiały sposób </w:t>
      </w:r>
      <w:r w:rsidRPr="005B5BDF">
        <w:t>i jest to uzasadnione specyfiką przedmiotu zamówienia. W</w:t>
      </w:r>
      <w:r w:rsidR="0055317F" w:rsidRPr="005B5BDF">
        <w:rPr>
          <w:lang w:val="pl-PL"/>
        </w:rPr>
        <w:t> </w:t>
      </w:r>
      <w:r w:rsidRPr="005B5BDF">
        <w:t>takich</w:t>
      </w:r>
      <w:r w:rsidR="00515101" w:rsidRPr="005B5BDF">
        <w:t xml:space="preserve"> sytuacjach ewentualne p</w:t>
      </w:r>
      <w:r w:rsidR="00120996" w:rsidRPr="005B5BDF">
        <w:t>osłużenie się powyższymi wskazaniami</w:t>
      </w:r>
      <w:r w:rsidRPr="005B5BDF">
        <w:t>, należy odczy</w:t>
      </w:r>
      <w:r w:rsidR="00120996" w:rsidRPr="005B5BDF">
        <w:t>tywać z</w:t>
      </w:r>
      <w:r w:rsidR="0055317F" w:rsidRPr="005B5BDF">
        <w:rPr>
          <w:lang w:val="pl-PL"/>
        </w:rPr>
        <w:t> </w:t>
      </w:r>
      <w:r w:rsidR="00120996" w:rsidRPr="005B5BDF">
        <w:t>wyrazami „lub równoważny</w:t>
      </w:r>
      <w:r w:rsidRPr="005B5BDF">
        <w:t xml:space="preserve">”. </w:t>
      </w:r>
      <w:r w:rsidR="00120996" w:rsidRPr="005B5BDF">
        <w:t xml:space="preserve">Zamawiający wskazuje w opisie przedmiotu zamówienia kryteria stosowane </w:t>
      </w:r>
      <w:r w:rsidR="00E51823">
        <w:rPr>
          <w:lang w:val="pl-PL"/>
        </w:rPr>
        <w:t xml:space="preserve">                         </w:t>
      </w:r>
      <w:r w:rsidR="00120996" w:rsidRPr="005B5BDF">
        <w:t>w celu oceny równoważności;</w:t>
      </w:r>
    </w:p>
    <w:p w14:paraId="0EFCF8CB" w14:textId="62180641" w:rsidR="00F85C46" w:rsidRPr="005B5BDF" w:rsidRDefault="00F85C46" w:rsidP="00E769ED">
      <w:pPr>
        <w:pStyle w:val="Nagwek4"/>
        <w:spacing w:before="0" w:after="0"/>
        <w:ind w:left="709" w:hanging="283"/>
        <w:contextualSpacing w:val="0"/>
      </w:pPr>
      <w:r w:rsidRPr="005B5BDF">
        <w:t xml:space="preserve">w sytuacjach, kiedy Zamawiający opisuje przedmiot zamówienia poprzez </w:t>
      </w:r>
      <w:r w:rsidR="00602A59" w:rsidRPr="005B5BDF">
        <w:t>odniesienie się</w:t>
      </w:r>
      <w:r w:rsidR="006E33C4" w:rsidRPr="005B5BDF">
        <w:t xml:space="preserve"> do norm, ocen technicznych, specyfikacji technicznych i systemów referencji technicznych, o</w:t>
      </w:r>
      <w:r w:rsidR="00382315" w:rsidRPr="005B5BDF">
        <w:rPr>
          <w:lang w:val="pl-PL"/>
        </w:rPr>
        <w:t> </w:t>
      </w:r>
      <w:r w:rsidR="006E33C4" w:rsidRPr="005B5BDF">
        <w:t xml:space="preserve">których mowa w </w:t>
      </w:r>
      <w:r w:rsidR="00602A59" w:rsidRPr="005B5BDF">
        <w:t xml:space="preserve">art. 101 ust. 1 pkt 2 </w:t>
      </w:r>
      <w:r w:rsidR="00C325E2" w:rsidRPr="005B5BDF">
        <w:t>i</w:t>
      </w:r>
      <w:r w:rsidR="006E33C4" w:rsidRPr="005B5BDF">
        <w:t xml:space="preserve"> ust</w:t>
      </w:r>
      <w:r w:rsidR="00602A59" w:rsidRPr="005B5BDF">
        <w:t>. 3</w:t>
      </w:r>
      <w:r w:rsidR="0080582A" w:rsidRPr="005B5BDF">
        <w:rPr>
          <w:lang w:val="pl-PL"/>
        </w:rPr>
        <w:t xml:space="preserve"> </w:t>
      </w:r>
      <w:r w:rsidR="00602A59" w:rsidRPr="005B5BDF">
        <w:t xml:space="preserve">ustawy </w:t>
      </w:r>
      <w:proofErr w:type="spellStart"/>
      <w:r w:rsidR="00602A59" w:rsidRPr="005B5BDF">
        <w:t>Pzp</w:t>
      </w:r>
      <w:proofErr w:type="spellEnd"/>
      <w:r w:rsidR="00602A59" w:rsidRPr="005B5BDF">
        <w:t>,</w:t>
      </w:r>
      <w:r w:rsidR="006E33C4" w:rsidRPr="005B5BDF">
        <w:t xml:space="preserve"> dopuszcza rozwiązania równoważne opisy</w:t>
      </w:r>
      <w:r w:rsidR="00BB33A4" w:rsidRPr="005B5BDF">
        <w:t xml:space="preserve">wanym. Wykonawca, który powołuje się na rozwiązania równoważne, jest zobowiązany wykazać, że oferowane przez niego rozwiązanie spełnia wymagania określone przez </w:t>
      </w:r>
      <w:r w:rsidR="00BB33A4" w:rsidRPr="005B5BDF">
        <w:rPr>
          <w:lang w:val="pl-PL"/>
        </w:rPr>
        <w:t>Z</w:t>
      </w:r>
      <w:proofErr w:type="spellStart"/>
      <w:r w:rsidR="00BB33A4" w:rsidRPr="005B5BDF">
        <w:t>amawiającego</w:t>
      </w:r>
      <w:proofErr w:type="spellEnd"/>
      <w:r w:rsidR="00BB33A4" w:rsidRPr="005B5BDF">
        <w:t xml:space="preserve">. W takim przypadku </w:t>
      </w:r>
      <w:r w:rsidR="00E30A1A">
        <w:rPr>
          <w:lang w:val="pl-PL"/>
        </w:rPr>
        <w:t>W</w:t>
      </w:r>
      <w:proofErr w:type="spellStart"/>
      <w:r w:rsidR="00BB33A4" w:rsidRPr="005B5BDF">
        <w:t>ykonawca</w:t>
      </w:r>
      <w:proofErr w:type="spellEnd"/>
      <w:r w:rsidR="00BB33A4" w:rsidRPr="005B5BDF">
        <w:t xml:space="preserve"> załączy do oferty wykaz </w:t>
      </w:r>
      <w:r w:rsidR="00034894" w:rsidRPr="005B5BDF">
        <w:rPr>
          <w:lang w:val="pl-PL"/>
        </w:rPr>
        <w:t xml:space="preserve">zaproponowanych </w:t>
      </w:r>
      <w:r w:rsidR="00BB33A4" w:rsidRPr="005B5BDF">
        <w:t>rozwią</w:t>
      </w:r>
      <w:r w:rsidR="00034894" w:rsidRPr="005B5BDF">
        <w:t xml:space="preserve">zań równoważnych wraz z ich </w:t>
      </w:r>
      <w:r w:rsidR="00BB33A4" w:rsidRPr="005B5BDF">
        <w:t xml:space="preserve">opisem lub </w:t>
      </w:r>
      <w:r w:rsidR="00034894" w:rsidRPr="005B5BDF">
        <w:rPr>
          <w:lang w:val="pl-PL"/>
        </w:rPr>
        <w:t xml:space="preserve">wskazaniem właściwych </w:t>
      </w:r>
      <w:r w:rsidR="00034894" w:rsidRPr="005B5BDF">
        <w:t>norm</w:t>
      </w:r>
      <w:r w:rsidR="00BB33A4" w:rsidRPr="005B5BDF">
        <w:t>;</w:t>
      </w:r>
    </w:p>
    <w:p w14:paraId="7F26A9DF" w14:textId="5CAB488F" w:rsidR="00F85C46" w:rsidRDefault="00F85C46" w:rsidP="00E769ED">
      <w:pPr>
        <w:pStyle w:val="Nagwek4"/>
        <w:spacing w:before="0" w:after="0"/>
        <w:ind w:left="709" w:hanging="283"/>
        <w:contextualSpacing w:val="0"/>
        <w:rPr>
          <w:rFonts w:eastAsia="Calibri"/>
        </w:rPr>
      </w:pPr>
      <w:r w:rsidRPr="005B5BDF">
        <w:t>w</w:t>
      </w:r>
      <w:r w:rsidR="00602A59" w:rsidRPr="005B5BDF">
        <w:rPr>
          <w:rFonts w:eastAsia="Calibri"/>
        </w:rPr>
        <w:t xml:space="preserve"> przypadku, kiedy</w:t>
      </w:r>
      <w:r w:rsidRPr="005B5BDF">
        <w:rPr>
          <w:rFonts w:eastAsia="Calibri"/>
        </w:rPr>
        <w:t xml:space="preserve"> </w:t>
      </w:r>
      <w:r w:rsidR="00602A59" w:rsidRPr="005B5BDF">
        <w:rPr>
          <w:rFonts w:eastAsia="Calibri"/>
        </w:rPr>
        <w:t>Zamawiający w opisie przedmiotu zamówienia określa dopuszczalny margines</w:t>
      </w:r>
      <w:r w:rsidRPr="005B5BDF">
        <w:rPr>
          <w:rFonts w:eastAsia="Calibri"/>
        </w:rPr>
        <w:t xml:space="preserve"> tolerancji lub </w:t>
      </w:r>
      <w:r w:rsidR="00602A59" w:rsidRPr="005B5BDF">
        <w:rPr>
          <w:rFonts w:eastAsia="Calibri"/>
        </w:rPr>
        <w:t xml:space="preserve">minimalny </w:t>
      </w:r>
      <w:r w:rsidRPr="005B5BDF">
        <w:rPr>
          <w:rFonts w:eastAsia="Calibri"/>
        </w:rPr>
        <w:t>zakres wymaganych parametrów technicznych – parametr</w:t>
      </w:r>
      <w:r w:rsidR="009F21F0" w:rsidRPr="005B5BDF">
        <w:rPr>
          <w:rFonts w:eastAsia="Calibri"/>
        </w:rPr>
        <w:t>y oferowan</w:t>
      </w:r>
      <w:r w:rsidR="00CD466A">
        <w:rPr>
          <w:rFonts w:eastAsia="Calibri"/>
          <w:lang w:val="pl-PL"/>
        </w:rPr>
        <w:t>ego</w:t>
      </w:r>
      <w:r w:rsidR="009F21F0" w:rsidRPr="005B5BDF">
        <w:rPr>
          <w:rFonts w:eastAsia="Calibri"/>
        </w:rPr>
        <w:t xml:space="preserve"> </w:t>
      </w:r>
      <w:r w:rsidR="00CD466A">
        <w:rPr>
          <w:rFonts w:eastAsia="Calibri"/>
          <w:lang w:val="pl-PL"/>
        </w:rPr>
        <w:t>sprzętu</w:t>
      </w:r>
      <w:r w:rsidRPr="005B5BDF">
        <w:rPr>
          <w:rFonts w:eastAsia="Calibri"/>
        </w:rPr>
        <w:t xml:space="preserve"> </w:t>
      </w:r>
      <w:r w:rsidR="009055D5"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</w:t>
      </w:r>
      <w:r w:rsidR="00BF120E" w:rsidRPr="005B5BDF">
        <w:rPr>
          <w:rFonts w:eastAsia="Calibri"/>
        </w:rPr>
        <w:t>ch przez Zamawiającego</w:t>
      </w:r>
      <w:r w:rsidR="00515101" w:rsidRPr="005B5BDF">
        <w:rPr>
          <w:rFonts w:eastAsia="Calibri"/>
        </w:rPr>
        <w:t xml:space="preserve"> w</w:t>
      </w:r>
      <w:r w:rsidR="00382315" w:rsidRPr="005B5BDF">
        <w:rPr>
          <w:rFonts w:eastAsia="Calibri"/>
          <w:lang w:val="pl-PL"/>
        </w:rPr>
        <w:t> </w:t>
      </w:r>
      <w:r w:rsidR="00515101" w:rsidRPr="005B5BDF">
        <w:rPr>
          <w:rFonts w:eastAsia="Calibri"/>
        </w:rPr>
        <w:t>załączniku nr 2 do SWZ</w:t>
      </w:r>
      <w:r w:rsidR="00BF120E" w:rsidRPr="005B5BDF">
        <w:rPr>
          <w:rFonts w:eastAsia="Calibri"/>
        </w:rPr>
        <w:t xml:space="preserve"> przedziałach i zakresach tolerancji</w:t>
      </w:r>
      <w:r w:rsidR="0055317F" w:rsidRPr="005B5BDF">
        <w:rPr>
          <w:rFonts w:eastAsia="Calibri"/>
        </w:rPr>
        <w:t xml:space="preserve"> pod rygorem odrzucenia oferty.</w:t>
      </w:r>
    </w:p>
    <w:p w14:paraId="3FA5EBF1" w14:textId="77777777" w:rsidR="00887472" w:rsidRPr="00B3713D" w:rsidRDefault="00887472" w:rsidP="00E769ED">
      <w:pPr>
        <w:pStyle w:val="Nagwek4"/>
        <w:ind w:left="709" w:hanging="284"/>
      </w:pPr>
      <w:r w:rsidRPr="00955F19">
        <w:rPr>
          <w:rFonts w:eastAsia="Calibri"/>
        </w:rPr>
        <w:t>wszelkie możliwe, dopuszczalne przez Zam</w:t>
      </w:r>
      <w:r>
        <w:rPr>
          <w:rFonts w:eastAsia="Calibri"/>
        </w:rPr>
        <w:t xml:space="preserve">awiającego tolerancje odnośnie </w:t>
      </w:r>
      <w:r>
        <w:rPr>
          <w:rFonts w:eastAsia="Calibri"/>
          <w:lang w:val="pl-PL"/>
        </w:rPr>
        <w:t>sprzętu</w:t>
      </w:r>
      <w:r w:rsidRPr="00955F19">
        <w:rPr>
          <w:rFonts w:eastAsia="Calibri"/>
        </w:rPr>
        <w:t xml:space="preserve"> zostały określone w załączniku nr 2 do SWZ.</w:t>
      </w:r>
    </w:p>
    <w:p w14:paraId="24854E9F" w14:textId="52D882C1" w:rsidR="00FB3F58" w:rsidRPr="005B5BDF" w:rsidRDefault="00FB3F58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Opis części zamówienia. Oferty wariantowe.</w:t>
      </w:r>
    </w:p>
    <w:p w14:paraId="7D110058" w14:textId="35D16EF0" w:rsidR="00E769ED" w:rsidRPr="00126D47" w:rsidRDefault="009F79A4" w:rsidP="00315AF6">
      <w:pPr>
        <w:pStyle w:val="Nagwek3"/>
        <w:numPr>
          <w:ilvl w:val="0"/>
          <w:numId w:val="44"/>
        </w:numPr>
        <w:tabs>
          <w:tab w:val="left" w:pos="1134"/>
        </w:tabs>
        <w:ind w:left="709" w:hanging="283"/>
        <w:contextualSpacing w:val="0"/>
        <w:rPr>
          <w:rFonts w:cs="Arial"/>
          <w:lang w:val="en-US"/>
        </w:rPr>
      </w:pPr>
      <w:r w:rsidRPr="009E363B">
        <w:rPr>
          <w:rFonts w:eastAsia="Calibri"/>
        </w:rPr>
        <w:t xml:space="preserve">Zamawiający </w:t>
      </w:r>
      <w:r w:rsidR="00126D47">
        <w:rPr>
          <w:rFonts w:eastAsia="Calibri"/>
        </w:rPr>
        <w:t xml:space="preserve">nie </w:t>
      </w:r>
      <w:r w:rsidRPr="009E363B">
        <w:rPr>
          <w:rFonts w:eastAsia="Calibri"/>
        </w:rPr>
        <w:t>dopuszcza możliwoś</w:t>
      </w:r>
      <w:r w:rsidR="00126D47">
        <w:rPr>
          <w:rFonts w:eastAsia="Calibri"/>
        </w:rPr>
        <w:t>ci</w:t>
      </w:r>
      <w:r w:rsidRPr="009E363B">
        <w:rPr>
          <w:rFonts w:eastAsia="Calibri"/>
        </w:rPr>
        <w:t xml:space="preserve"> składania ofert częściowych</w:t>
      </w:r>
      <w:r w:rsidR="00126D47">
        <w:rPr>
          <w:rFonts w:eastAsia="Calibri"/>
        </w:rPr>
        <w:t xml:space="preserve">. </w:t>
      </w:r>
    </w:p>
    <w:p w14:paraId="4DCC4DC4" w14:textId="4C4570C7" w:rsidR="00BA7E0B" w:rsidRPr="005B5BDF" w:rsidRDefault="00BA7E0B" w:rsidP="00315AF6">
      <w:pPr>
        <w:pStyle w:val="Nagwek4"/>
        <w:numPr>
          <w:ilvl w:val="0"/>
          <w:numId w:val="44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63EA3F11" w14:textId="09819E33" w:rsidR="00D35735" w:rsidRPr="00D35735" w:rsidRDefault="00F0343C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  <w:color w:val="auto"/>
        </w:rPr>
      </w:pPr>
      <w:r w:rsidRPr="005B5BDF">
        <w:t xml:space="preserve">Termin realizacji zamówienia: </w:t>
      </w:r>
      <w:r w:rsidR="00887472" w:rsidRPr="00887472">
        <w:rPr>
          <w:b w:val="0"/>
          <w:color w:val="auto"/>
        </w:rPr>
        <w:t xml:space="preserve">do </w:t>
      </w:r>
      <w:r w:rsidR="00126D47">
        <w:rPr>
          <w:b w:val="0"/>
          <w:color w:val="auto"/>
        </w:rPr>
        <w:t>20</w:t>
      </w:r>
      <w:r w:rsidR="00887472" w:rsidRPr="000E71E1">
        <w:rPr>
          <w:b w:val="0"/>
          <w:color w:val="auto"/>
        </w:rPr>
        <w:t xml:space="preserve"> dni od daty </w:t>
      </w:r>
      <w:r w:rsidR="00887472">
        <w:rPr>
          <w:b w:val="0"/>
          <w:color w:val="auto"/>
        </w:rPr>
        <w:t>zawarcia umowy.</w:t>
      </w:r>
    </w:p>
    <w:p w14:paraId="4B085F75" w14:textId="636C34BB" w:rsidR="00887472" w:rsidRPr="00F922B3" w:rsidRDefault="00887472" w:rsidP="00887472">
      <w:pPr>
        <w:ind w:left="284" w:firstLine="0"/>
        <w:outlineLvl w:val="2"/>
        <w:rPr>
          <w:i/>
          <w:szCs w:val="20"/>
        </w:rPr>
      </w:pPr>
      <w:bookmarkStart w:id="11" w:name="_Hlk136434542"/>
      <w:r w:rsidRPr="00F922B3">
        <w:rPr>
          <w:i/>
          <w:szCs w:val="20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</w:t>
      </w:r>
      <w:r>
        <w:rPr>
          <w:i/>
          <w:szCs w:val="20"/>
        </w:rPr>
        <w:t>, zgodnie z zasadami określonymi w rozdz. XIII SWZ</w:t>
      </w:r>
      <w:r w:rsidRPr="00F922B3">
        <w:rPr>
          <w:i/>
          <w:szCs w:val="20"/>
        </w:rPr>
        <w:t>.</w:t>
      </w:r>
    </w:p>
    <w:bookmarkEnd w:id="11"/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255DD1EB" w14:textId="4C9ED2C2" w:rsidR="00E51823" w:rsidRDefault="00F85C46" w:rsidP="00315AF6">
      <w:pPr>
        <w:pStyle w:val="Nagwek3"/>
        <w:numPr>
          <w:ilvl w:val="3"/>
          <w:numId w:val="40"/>
        </w:numPr>
        <w:ind w:left="567" w:hanging="283"/>
        <w:contextualSpacing w:val="0"/>
      </w:pPr>
      <w:r w:rsidRPr="00E30A1A">
        <w:rPr>
          <w:b/>
        </w:rPr>
        <w:lastRenderedPageBreak/>
        <w:t>Adres dostawy</w:t>
      </w:r>
      <w:r w:rsidRPr="005B5BDF">
        <w:t xml:space="preserve">: </w:t>
      </w:r>
      <w:r w:rsidR="000C767C" w:rsidRPr="005B5BDF">
        <w:t xml:space="preserve">Uniwersytet Śląski, Dział </w:t>
      </w:r>
      <w:r w:rsidR="00B67DD5">
        <w:t>Zarządzania Dostawami</w:t>
      </w:r>
      <w:r w:rsidR="000C767C" w:rsidRPr="005B5BDF">
        <w:t>, ul. Bankowa</w:t>
      </w:r>
      <w:r w:rsidR="00D35B4B">
        <w:t xml:space="preserve"> 14,</w:t>
      </w:r>
      <w:r w:rsidR="000C767C" w:rsidRPr="005B5BDF">
        <w:t xml:space="preserve"> </w:t>
      </w:r>
      <w:bookmarkStart w:id="12" w:name="_Hlk136501574"/>
      <w:r w:rsidR="00D35B4B" w:rsidRPr="00D35B4B">
        <w:t>pawilon B</w:t>
      </w:r>
      <w:r w:rsidR="00D35B4B">
        <w:t>,</w:t>
      </w:r>
      <w:r w:rsidR="00D35B4B" w:rsidRPr="00D35B4B">
        <w:t xml:space="preserve"> pok. 310, 40-007 Katowice</w:t>
      </w:r>
      <w:bookmarkEnd w:id="12"/>
      <w:r w:rsidR="00B67DD5">
        <w:t>.</w:t>
      </w:r>
    </w:p>
    <w:p w14:paraId="7E695C32" w14:textId="64B84C38" w:rsidR="002A41FD" w:rsidRPr="00126D47" w:rsidRDefault="00687243" w:rsidP="00315AF6">
      <w:pPr>
        <w:pStyle w:val="Nagwek3"/>
        <w:numPr>
          <w:ilvl w:val="0"/>
          <w:numId w:val="50"/>
        </w:numPr>
        <w:ind w:left="567" w:hanging="283"/>
        <w:contextualSpacing w:val="0"/>
        <w:rPr>
          <w:rFonts w:cs="Arial"/>
        </w:rPr>
      </w:pPr>
      <w:r w:rsidRPr="00126D47">
        <w:rPr>
          <w:b/>
        </w:rPr>
        <w:t>Wymagany minimalny termin gwarancji</w:t>
      </w:r>
      <w:r w:rsidR="003B3416" w:rsidRPr="005B5BDF">
        <w:t xml:space="preserve"> na oferowan</w:t>
      </w:r>
      <w:r w:rsidR="000D10E1">
        <w:t>y sprzęt</w:t>
      </w:r>
      <w:r w:rsidR="003B3416" w:rsidRPr="005B5BDF">
        <w:t xml:space="preserve"> wynosi</w:t>
      </w:r>
      <w:r w:rsidR="00FC0CC1">
        <w:t>:</w:t>
      </w:r>
      <w:r w:rsidR="003B3416" w:rsidRPr="005B5BDF">
        <w:t xml:space="preserve"> </w:t>
      </w:r>
      <w:r w:rsidR="0054055E" w:rsidRPr="00126D47">
        <w:rPr>
          <w:rFonts w:cs="Arial"/>
          <w:b/>
        </w:rPr>
        <w:t>12 m-</w:t>
      </w:r>
      <w:proofErr w:type="spellStart"/>
      <w:r w:rsidR="0054055E" w:rsidRPr="00126D47">
        <w:rPr>
          <w:rFonts w:cs="Arial"/>
          <w:b/>
        </w:rPr>
        <w:t>cy</w:t>
      </w:r>
      <w:proofErr w:type="spellEnd"/>
      <w:r w:rsidR="002A41FD" w:rsidRPr="00126D47">
        <w:rPr>
          <w:rFonts w:cs="Arial"/>
        </w:rPr>
        <w:t>.</w:t>
      </w:r>
    </w:p>
    <w:p w14:paraId="440E065C" w14:textId="4043613E" w:rsidR="00F85C46" w:rsidRPr="002B0578" w:rsidRDefault="00F85C46" w:rsidP="00315AF6">
      <w:pPr>
        <w:pStyle w:val="Nagwek3"/>
        <w:numPr>
          <w:ilvl w:val="0"/>
          <w:numId w:val="50"/>
        </w:numPr>
        <w:ind w:left="567" w:hanging="283"/>
        <w:contextualSpacing w:val="0"/>
        <w:rPr>
          <w:rFonts w:eastAsia="Calibri"/>
          <w:noProof/>
        </w:rPr>
      </w:pPr>
      <w:r w:rsidRPr="002B0578">
        <w:rPr>
          <w:rFonts w:eastAsia="Calibri"/>
          <w:noProof/>
        </w:rPr>
        <w:t>Szczegółowe warunki realizacji zamówienia oraz warunki płatności zawiera wzór umowy</w:t>
      </w:r>
      <w:r w:rsidR="000A2883" w:rsidRPr="002B0578">
        <w:rPr>
          <w:rFonts w:eastAsia="Calibri"/>
        </w:rPr>
        <w:t xml:space="preserve"> stanowiący załącznik nr 3 do S</w:t>
      </w:r>
      <w:r w:rsidRPr="002B0578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315AF6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</w:t>
      </w:r>
      <w:proofErr w:type="spellStart"/>
      <w:r w:rsidR="0080582A" w:rsidRPr="005B5BDF">
        <w:rPr>
          <w:rFonts w:eastAsia="Calibri"/>
        </w:rPr>
        <w:t>Pzp</w:t>
      </w:r>
      <w:proofErr w:type="spellEnd"/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315AF6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315AF6">
      <w:pPr>
        <w:pStyle w:val="Nagwek3"/>
        <w:numPr>
          <w:ilvl w:val="0"/>
          <w:numId w:val="36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 xml:space="preserve">ustawy </w:t>
      </w:r>
      <w:proofErr w:type="spellStart"/>
      <w:r w:rsidR="00794699" w:rsidRPr="005B5BDF">
        <w:rPr>
          <w:rFonts w:eastAsia="Calibri"/>
        </w:rPr>
        <w:t>Pzp</w:t>
      </w:r>
      <w:proofErr w:type="spellEnd"/>
      <w:r w:rsidR="00794699" w:rsidRPr="005B5BDF">
        <w:rPr>
          <w:rFonts w:eastAsia="Calibri"/>
        </w:rPr>
        <w:t>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A26D36">
      <w:pPr>
        <w:pStyle w:val="Nagwek2"/>
        <w:keepNext w:val="0"/>
        <w:spacing w:before="0" w:after="0" w:line="360" w:lineRule="auto"/>
        <w:ind w:left="284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3" w:name="_Toc96068006"/>
      <w:r w:rsidRPr="005B5BDF">
        <w:t>Przedmiotowe środki dowodowe.</w:t>
      </w:r>
      <w:bookmarkEnd w:id="13"/>
    </w:p>
    <w:p w14:paraId="5A92E1C0" w14:textId="24D12EDD" w:rsidR="00F65A36" w:rsidRDefault="00F65A36" w:rsidP="004033EC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567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CellSpacing w:w="11" w:type="dxa"/>
        <w:tblInd w:w="653" w:type="dxa"/>
        <w:tblBorders>
          <w:top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4732"/>
        <w:gridCol w:w="4428"/>
      </w:tblGrid>
      <w:tr w:rsidR="00985869" w:rsidRPr="005B5BDF" w14:paraId="0605B3A3" w14:textId="77777777" w:rsidTr="00B51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A26D36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39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A26D36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B518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tblCellSpacing w:w="1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99" w:type="dxa"/>
            <w:shd w:val="clear" w:color="auto" w:fill="F2F2F2" w:themeFill="background1" w:themeFillShade="F2"/>
            <w:vAlign w:val="center"/>
          </w:tcPr>
          <w:p w14:paraId="3098D8DE" w14:textId="4885C858" w:rsidR="005C66B9" w:rsidRPr="002C3644" w:rsidRDefault="005C66B9" w:rsidP="005C66B9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lastRenderedPageBreak/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 xml:space="preserve">oferowanego </w:t>
            </w:r>
            <w:r w:rsidR="00AF799B">
              <w:rPr>
                <w:sz w:val="18"/>
                <w:szCs w:val="18"/>
              </w:rPr>
              <w:t>s</w:t>
            </w:r>
            <w:r w:rsidRPr="008C2832">
              <w:rPr>
                <w:sz w:val="18"/>
                <w:szCs w:val="18"/>
              </w:rPr>
              <w:t>przętu</w:t>
            </w:r>
            <w:r w:rsidR="00AF799B">
              <w:rPr>
                <w:sz w:val="18"/>
                <w:szCs w:val="18"/>
              </w:rPr>
              <w:t xml:space="preserve">  </w:t>
            </w:r>
            <w:r w:rsidRPr="002C3644">
              <w:rPr>
                <w:b w:val="0"/>
                <w:sz w:val="18"/>
                <w:szCs w:val="18"/>
              </w:rPr>
              <w:t>ze wskazaniem wszystkich parametrów technicznych,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="00AF799B">
              <w:rPr>
                <w:b w:val="0"/>
                <w:sz w:val="18"/>
                <w:szCs w:val="18"/>
              </w:rPr>
              <w:t>s</w:t>
            </w:r>
            <w:r>
              <w:rPr>
                <w:b w:val="0"/>
                <w:sz w:val="18"/>
                <w:szCs w:val="18"/>
              </w:rPr>
              <w:t xml:space="preserve">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SWZ).</w:t>
            </w:r>
          </w:p>
          <w:p w14:paraId="72C491FD" w14:textId="77777777" w:rsidR="005C66B9" w:rsidRPr="002C3644" w:rsidRDefault="005C66B9" w:rsidP="005C66B9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A2192D7" w14:textId="77777777" w:rsidR="005C66B9" w:rsidRPr="002C3644" w:rsidRDefault="005C66B9" w:rsidP="005C66B9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79128B4E" w14:textId="7C284981" w:rsidR="00985869" w:rsidRPr="00FA6B17" w:rsidRDefault="00985869" w:rsidP="00A26D36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F2F2F2" w:themeFill="background1" w:themeFillShade="F2"/>
            <w:vAlign w:val="center"/>
          </w:tcPr>
          <w:p w14:paraId="715AA63A" w14:textId="3D57DD9E" w:rsidR="00636F3B" w:rsidRPr="007130EC" w:rsidRDefault="00F47A89" w:rsidP="007130EC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 w:rsidR="007130EC"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A26D36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29D4C4C0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</w:t>
      </w:r>
      <w:proofErr w:type="spellStart"/>
      <w:r w:rsidR="001A0C84" w:rsidRPr="005B5BDF">
        <w:rPr>
          <w:lang w:eastAsia="x-none"/>
        </w:rPr>
        <w:t>Pzp</w:t>
      </w:r>
      <w:proofErr w:type="spellEnd"/>
      <w:r w:rsidR="001A0C84" w:rsidRPr="005B5BDF">
        <w:rPr>
          <w:lang w:eastAsia="x-none"/>
        </w:rPr>
        <w:t xml:space="preserve">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636F3B">
      <w:pPr>
        <w:pStyle w:val="Nagwek1"/>
      </w:pPr>
      <w:bookmarkStart w:id="14" w:name="_Toc375581634"/>
      <w:bookmarkStart w:id="15" w:name="_Toc375581816"/>
      <w:bookmarkStart w:id="16" w:name="_Toc375582133"/>
      <w:bookmarkStart w:id="17" w:name="_Toc96068007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4"/>
      <w:bookmarkEnd w:id="15"/>
      <w:bookmarkEnd w:id="16"/>
      <w:bookmarkEnd w:id="17"/>
      <w:r w:rsidRPr="005B5BDF">
        <w:t xml:space="preserve"> </w:t>
      </w:r>
    </w:p>
    <w:p w14:paraId="55FBF8D8" w14:textId="71704F0F" w:rsidR="00A867B7" w:rsidRPr="005B5BDF" w:rsidRDefault="00A62353" w:rsidP="004033EC">
      <w:pPr>
        <w:pStyle w:val="Nagwek2"/>
        <w:keepNext w:val="0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8" w:name="_Toc96068008"/>
      <w:r w:rsidRPr="00AF799B">
        <w:t xml:space="preserve">O udzielenie zamówienia może ubiegać się wyłącznie wykonawca, który nie podlega wykluczeniu z postępowania ze względu na okoliczności wymienione w art. 108 ust. 1 ustawy </w:t>
      </w:r>
      <w:proofErr w:type="spellStart"/>
      <w:r w:rsidRPr="00AF799B">
        <w:t>Pzp</w:t>
      </w:r>
      <w:proofErr w:type="spellEnd"/>
      <w:r w:rsidRPr="00AF799B">
        <w:t xml:space="preserve">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Times New Roman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</w:t>
      </w:r>
      <w:proofErr w:type="spellStart"/>
      <w:r w:rsidRPr="00AF799B">
        <w:t>Pzp</w:t>
      </w:r>
      <w:proofErr w:type="spellEnd"/>
      <w:r w:rsidRPr="00AF799B">
        <w:t xml:space="preserve">. </w:t>
      </w:r>
    </w:p>
    <w:p w14:paraId="0C4D2D36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hanging="218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Wykonawca nie podlega wykluczeniu z postępowania w zakresie przesłanek obligatoryjnych z art. 108 ust. 1 pkt 1, 2 i 5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anki wymienione w art. 110 ust. 2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4033EC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</w:t>
      </w:r>
      <w:r w:rsidRPr="00AF799B">
        <w:rPr>
          <w:rFonts w:eastAsia="Calibri" w:cs="Times New Roman"/>
          <w:bCs/>
          <w:szCs w:val="26"/>
          <w:lang w:eastAsia="x-none"/>
        </w:rPr>
        <w:lastRenderedPageBreak/>
        <w:t xml:space="preserve">z postępowania dotyczące podwykonawców niebędących podmiotami udostępniającymi zasoby na zasadach określonych w art. 118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;</w:t>
      </w:r>
    </w:p>
    <w:p w14:paraId="5A01AFBF" w14:textId="43CB1F9E" w:rsidR="00AF799B" w:rsidRPr="00AF799B" w:rsidRDefault="00AF799B" w:rsidP="004033EC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, Zamawiający oceni czy wypełnione zostały przesłanki wykluczenia wykonawcy z postępowania wyłącznie na podstawie oświadczenia wstępnego, o którym mowa w art. 125 ust. 1 ustawy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Pzp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. Zamawiający nie będzie wymagał złożenia podmiotowych środków dowodowych w celu potwierdzenia braku podstaw do wykluczenia. </w:t>
      </w:r>
    </w:p>
    <w:p w14:paraId="0DC0160B" w14:textId="77777777" w:rsidR="00AF799B" w:rsidRPr="00AF799B" w:rsidRDefault="00AF799B" w:rsidP="00AF799B">
      <w:pPr>
        <w:keepNext/>
        <w:numPr>
          <w:ilvl w:val="0"/>
          <w:numId w:val="8"/>
        </w:numPr>
        <w:spacing w:before="120" w:after="60" w:line="336" w:lineRule="auto"/>
        <w:ind w:left="567" w:hanging="283"/>
        <w:contextualSpacing/>
        <w:outlineLvl w:val="1"/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  <w:r w:rsidRPr="00AF799B"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  <w:t>W związku z wejściem w życie ustawy z dnia 13 kwietnia 2022 r. o szczególnych rozwiązaniach w zakresie przeciwdziałania wspieraniu agresji na Ukrainę oraz służących ochronie bezpieczeństwa narodowego (Dz. U. z 2022 r. poz. 835),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315AF6">
      <w:pPr>
        <w:numPr>
          <w:ilvl w:val="0"/>
          <w:numId w:val="52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1E8B516A" w:rsidR="00AF799B" w:rsidRPr="00AF799B" w:rsidRDefault="00AF799B" w:rsidP="00315AF6">
      <w:pPr>
        <w:pStyle w:val="Akapitzlist"/>
        <w:numPr>
          <w:ilvl w:val="0"/>
          <w:numId w:val="52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4FAAC266" w:rsidR="00AF799B" w:rsidRPr="00AF799B" w:rsidRDefault="00AF799B" w:rsidP="00315AF6">
      <w:pPr>
        <w:pStyle w:val="Akapitzlist"/>
        <w:numPr>
          <w:ilvl w:val="0"/>
          <w:numId w:val="52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BD13BA">
        <w:rPr>
          <w:rFonts w:eastAsia="Times New Roman" w:cs="Times New Roman"/>
          <w:bCs/>
          <w:szCs w:val="26"/>
          <w:lang w:eastAsia="x-none"/>
        </w:rPr>
        <w:t>3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BD13BA">
        <w:rPr>
          <w:rFonts w:eastAsia="Times New Roman" w:cs="Times New Roman"/>
          <w:bCs/>
          <w:szCs w:val="26"/>
          <w:lang w:eastAsia="x-none"/>
        </w:rPr>
        <w:t>120</w:t>
      </w:r>
      <w:r w:rsidR="00623B9E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623B9E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623B9E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797D564" w14:textId="77777777" w:rsidR="00AF799B" w:rsidRP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 xml:space="preserve"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</w:t>
      </w:r>
      <w:r w:rsidRPr="00AF799B">
        <w:rPr>
          <w:rFonts w:eastAsia="Calibri" w:cs="Times New Roman"/>
          <w:bCs/>
          <w:noProof/>
          <w:szCs w:val="26"/>
          <w:lang w:eastAsia="x-none"/>
        </w:rPr>
        <w:lastRenderedPageBreak/>
        <w:t>Karę pieniężną, o której mowa w zdaniu poprzednim, nakłada Prezes Urzędu Zamówień Publicznych, w drodze decyzji, w wysokości do 20 000 000 zł.</w:t>
      </w:r>
    </w:p>
    <w:p w14:paraId="1B43AE25" w14:textId="2D73946C" w:rsidR="00AF799B" w:rsidRDefault="00AF799B" w:rsidP="00AF799B">
      <w:pPr>
        <w:numPr>
          <w:ilvl w:val="0"/>
          <w:numId w:val="8"/>
        </w:numPr>
        <w:spacing w:before="120" w:after="60" w:line="336" w:lineRule="auto"/>
        <w:ind w:left="568" w:hanging="284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AF799B">
        <w:rPr>
          <w:rFonts w:eastAsia="Calibri" w:cs="Times New Roman"/>
          <w:bCs/>
          <w:noProof/>
          <w:szCs w:val="26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8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9" w:name="_Toc96068009"/>
      <w:r w:rsidRPr="005B5BDF">
        <w:rPr>
          <w:noProof/>
        </w:rPr>
        <w:t>Oświadczenie wstępne, podmiotowe środki dowodowe oraz inne dokumenty.</w:t>
      </w:r>
      <w:bookmarkEnd w:id="19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 xml:space="preserve">Zgodnie z dyspozycją przepisu art. 273 ust. 2 ustawy </w:t>
      </w:r>
      <w:proofErr w:type="spellStart"/>
      <w:r w:rsidRPr="005B5BDF">
        <w:t>Pzp</w:t>
      </w:r>
      <w:proofErr w:type="spellEnd"/>
      <w:r w:rsidRPr="005B5BDF">
        <w:t>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</w:t>
            </w:r>
            <w:proofErr w:type="spellStart"/>
            <w:r w:rsidR="00635695" w:rsidRPr="005B5BDF">
              <w:rPr>
                <w:b w:val="0"/>
                <w:sz w:val="18"/>
                <w:szCs w:val="18"/>
              </w:rPr>
              <w:t>Pzp</w:t>
            </w:r>
            <w:proofErr w:type="spellEnd"/>
            <w:r w:rsidR="00635695" w:rsidRPr="005B5BDF">
              <w:rPr>
                <w:b w:val="0"/>
                <w:sz w:val="18"/>
                <w:szCs w:val="18"/>
              </w:rPr>
              <w:t>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25196B1D" w:rsidR="00B376D2" w:rsidRPr="005B5BDF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</w:t>
      </w:r>
      <w:proofErr w:type="spellStart"/>
      <w:r w:rsidR="000479C6" w:rsidRPr="005B5BDF">
        <w:t>Pzp</w:t>
      </w:r>
      <w:proofErr w:type="spellEnd"/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F416076" w:rsidR="00815FE8" w:rsidRPr="005B5BDF" w:rsidRDefault="00815FE8" w:rsidP="00315AF6">
      <w:pPr>
        <w:pStyle w:val="Nagwek3"/>
        <w:numPr>
          <w:ilvl w:val="0"/>
          <w:numId w:val="39"/>
        </w:numPr>
        <w:ind w:left="567" w:hanging="284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celu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31BA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03576626" w14:textId="77777777" w:rsidR="001E5A79" w:rsidRDefault="001E5A79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</w:p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5B5BDF" w:rsidRDefault="00815FE8" w:rsidP="00315AF6">
      <w:pPr>
        <w:pStyle w:val="Nagwek3"/>
        <w:keepNext/>
        <w:numPr>
          <w:ilvl w:val="0"/>
          <w:numId w:val="39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5B5BDF">
        <w:rPr>
          <w:rFonts w:eastAsia="Calibri"/>
          <w:noProof/>
        </w:rPr>
        <w:lastRenderedPageBreak/>
        <w:t xml:space="preserve">Jeżeli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działa osoba, której umocowanie do jego reprezentowania nie wynika z </w:t>
      </w:r>
      <w:r w:rsidR="00C80205" w:rsidRPr="005B5BDF">
        <w:rPr>
          <w:rFonts w:eastAsia="Calibri"/>
          <w:noProof/>
        </w:rPr>
        <w:t>dokumentów, o których mowa w pkt</w:t>
      </w:r>
      <w:r w:rsidR="009C40E6" w:rsidRPr="005B5BDF">
        <w:rPr>
          <w:rFonts w:eastAsia="Calibri"/>
          <w:noProof/>
        </w:rPr>
        <w:t xml:space="preserve"> 1, 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</w:t>
      </w:r>
      <w:r w:rsidR="009C40E6" w:rsidRPr="005B5BDF">
        <w:rPr>
          <w:rFonts w:eastAsia="Calibri"/>
          <w:noProof/>
        </w:rPr>
        <w:t xml:space="preserve"> złożenia:</w:t>
      </w:r>
      <w:r w:rsidRPr="005B5BDF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315AF6">
      <w:pPr>
        <w:pStyle w:val="Akapitzlist"/>
        <w:numPr>
          <w:ilvl w:val="0"/>
          <w:numId w:val="39"/>
        </w:numPr>
        <w:spacing w:before="240" w:after="120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C0760D">
      <w:pPr>
        <w:pStyle w:val="Nagwek2"/>
        <w:spacing w:before="240" w:after="0" w:line="360" w:lineRule="auto"/>
        <w:ind w:left="426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315AF6">
      <w:pPr>
        <w:numPr>
          <w:ilvl w:val="0"/>
          <w:numId w:val="53"/>
        </w:numPr>
        <w:ind w:left="567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20" w:name="_Toc96068010"/>
      <w:r w:rsidRPr="009A0101">
        <w:rPr>
          <w:rFonts w:eastAsia="Times New Roman" w:cs="Times New Roman"/>
          <w:bCs/>
          <w:szCs w:val="26"/>
          <w:lang w:eastAsia="x-none"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</w:t>
      </w:r>
      <w:proofErr w:type="spellStart"/>
      <w:r w:rsidRPr="009A0101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9A0101">
        <w:rPr>
          <w:rFonts w:eastAsia="Times New Roman" w:cs="Times New Roman"/>
          <w:bCs/>
          <w:szCs w:val="26"/>
          <w:lang w:eastAsia="x-none"/>
        </w:rPr>
        <w:t>, dane umożliwiające dostęp do tych środków;</w:t>
      </w:r>
    </w:p>
    <w:p w14:paraId="412E0234" w14:textId="3D459453" w:rsidR="00FE62B7" w:rsidRDefault="009A0101" w:rsidP="00315AF6">
      <w:pPr>
        <w:numPr>
          <w:ilvl w:val="0"/>
          <w:numId w:val="53"/>
        </w:numPr>
        <w:ind w:left="567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wykonawcy, a także postanowienia rozdziałów VIII i IX dotyczących zasad komunikacji w postępowaniu i przygotowania oferty oraz innych dokumentów.</w:t>
      </w:r>
      <w:r w:rsidR="00FE62B7">
        <w:rPr>
          <w:rFonts w:eastAsia="Times New Roman" w:cs="Times New Roman"/>
          <w:bCs/>
          <w:szCs w:val="26"/>
          <w:lang w:eastAsia="x-none"/>
        </w:rPr>
        <w:br w:type="page"/>
      </w:r>
    </w:p>
    <w:p w14:paraId="1CA7C02B" w14:textId="1626A93B" w:rsidR="00F85C46" w:rsidRPr="005B5BDF" w:rsidRDefault="00F85C46" w:rsidP="00D1198C">
      <w:pPr>
        <w:pStyle w:val="Nagwek1"/>
      </w:pPr>
      <w:r w:rsidRPr="005B5BDF">
        <w:lastRenderedPageBreak/>
        <w:t>Wymagania dotyczące wadium.</w:t>
      </w:r>
      <w:bookmarkStart w:id="21" w:name="OLE_LINK1"/>
      <w:bookmarkEnd w:id="20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22" w:name="_Toc96068011"/>
      <w:bookmarkEnd w:id="21"/>
      <w:r w:rsidRPr="005B5BDF">
        <w:rPr>
          <w:lang w:val="pl-PL"/>
        </w:rPr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22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t>Zasady komunikacji.</w:t>
      </w:r>
    </w:p>
    <w:p w14:paraId="75E7E2E1" w14:textId="77777777" w:rsidR="0081004B" w:rsidRPr="0081004B" w:rsidRDefault="0081004B" w:rsidP="00315AF6">
      <w:pPr>
        <w:pStyle w:val="Nagwek3"/>
        <w:numPr>
          <w:ilvl w:val="0"/>
          <w:numId w:val="54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315AF6">
      <w:pPr>
        <w:pStyle w:val="Nagwek3"/>
        <w:numPr>
          <w:ilvl w:val="0"/>
          <w:numId w:val="54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</w:t>
      </w:r>
      <w:r w:rsidRPr="0081004B">
        <w:lastRenderedPageBreak/>
        <w:t xml:space="preserve">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315AF6">
      <w:pPr>
        <w:pStyle w:val="Nagwek3"/>
        <w:numPr>
          <w:ilvl w:val="0"/>
          <w:numId w:val="54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315AF6">
      <w:pPr>
        <w:pStyle w:val="Nagwek3"/>
        <w:numPr>
          <w:ilvl w:val="0"/>
          <w:numId w:val="54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381AF0BE" w:rsidR="00D05F0F" w:rsidRPr="005B5BDF" w:rsidRDefault="00D05F0F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 xml:space="preserve">ustawy </w:t>
      </w:r>
      <w:proofErr w:type="spellStart"/>
      <w:r w:rsidR="00471B27"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77777777" w:rsidR="00636F3B" w:rsidRPr="005B5BDF" w:rsidRDefault="00636F3B" w:rsidP="00315AF6">
      <w:pPr>
        <w:pStyle w:val="Nagwek3"/>
        <w:numPr>
          <w:ilvl w:val="0"/>
          <w:numId w:val="48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</w:t>
      </w:r>
      <w:proofErr w:type="spellStart"/>
      <w:r w:rsidRPr="005B5BDF">
        <w:t>t.j</w:t>
      </w:r>
      <w:proofErr w:type="spellEnd"/>
      <w:r w:rsidRPr="005B5BDF">
        <w:t>. Dz.U. z 2017 r. 2247);</w:t>
      </w:r>
    </w:p>
    <w:p w14:paraId="6EA841FA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3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315AF6">
      <w:pPr>
        <w:pStyle w:val="Nagwek4"/>
        <w:numPr>
          <w:ilvl w:val="1"/>
          <w:numId w:val="49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315AF6">
      <w:pPr>
        <w:pStyle w:val="Nagwek4"/>
        <w:numPr>
          <w:ilvl w:val="1"/>
          <w:numId w:val="49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lastRenderedPageBreak/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315AF6">
      <w:pPr>
        <w:pStyle w:val="Nagwek3"/>
        <w:numPr>
          <w:ilvl w:val="0"/>
          <w:numId w:val="49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315AF6">
      <w:pPr>
        <w:pStyle w:val="Nagwek3"/>
        <w:numPr>
          <w:ilvl w:val="0"/>
          <w:numId w:val="49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 xml:space="preserve">ykonawcami w inny sposób niż przy użyciu środków komunikacji elektronicznej w przypadku zaistnienia jednej z sytuacjach określonych w art. 65 ust. 1, art. 66 i art. 69 ustawy </w:t>
      </w:r>
      <w:proofErr w:type="spellStart"/>
      <w:r w:rsidRPr="005B5BDF">
        <w:rPr>
          <w:lang w:val="pl"/>
        </w:rPr>
        <w:t>Pzp</w:t>
      </w:r>
      <w:proofErr w:type="spellEnd"/>
      <w:r w:rsidRPr="005B5BDF">
        <w:rPr>
          <w:lang w:val="pl"/>
        </w:rPr>
        <w:t>.</w:t>
      </w:r>
    </w:p>
    <w:p w14:paraId="3F06CF4F" w14:textId="77777777" w:rsidR="00636F3B" w:rsidRPr="00636F3B" w:rsidRDefault="00636F3B" w:rsidP="00636F3B">
      <w:pPr>
        <w:rPr>
          <w:lang w:val="pl" w:eastAsia="x-none"/>
        </w:rPr>
      </w:pPr>
    </w:p>
    <w:p w14:paraId="7369EC4C" w14:textId="4B960213" w:rsidR="007206AE" w:rsidRPr="005B5BDF" w:rsidRDefault="001C43D0" w:rsidP="00636F3B">
      <w:pPr>
        <w:pStyle w:val="Nagwek1"/>
      </w:pPr>
      <w:bookmarkStart w:id="23" w:name="_wp2umuqo1p7z" w:colFirst="0" w:colLast="0"/>
      <w:bookmarkStart w:id="24" w:name="_Toc96068012"/>
      <w:bookmarkEnd w:id="23"/>
      <w:r w:rsidRPr="005B5BDF">
        <w:t>Opis sposobu przygotowania ofert.</w:t>
      </w:r>
      <w:bookmarkEnd w:id="24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292E5627" w:rsidR="007B0947" w:rsidRDefault="00C540B8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D1198C">
        <w:t>w niniejszym</w:t>
      </w:r>
      <w:r w:rsidRPr="005B5BDF">
        <w:t xml:space="preserve"> postępowani</w:t>
      </w:r>
      <w:r w:rsidR="00D1198C">
        <w:t>u</w:t>
      </w:r>
      <w:r w:rsidRPr="005B5BDF">
        <w:t>;</w:t>
      </w:r>
    </w:p>
    <w:p w14:paraId="065D49E4" w14:textId="63B4C6FB" w:rsidR="007B0947" w:rsidRDefault="008B0002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>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</w:t>
      </w:r>
      <w:proofErr w:type="spellStart"/>
      <w:r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</w:t>
      </w:r>
      <w:proofErr w:type="spellStart"/>
      <w:r w:rsidR="00473F6B" w:rsidRPr="007B0947">
        <w:rPr>
          <w:rFonts w:eastAsia="Arial Unicode MS"/>
        </w:rPr>
        <w:t>Pzp</w:t>
      </w:r>
      <w:proofErr w:type="spellEnd"/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5B5BDF">
        <w:lastRenderedPageBreak/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22EB3F90" w:rsidR="007B0947" w:rsidRDefault="00297EB3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315AF6">
      <w:pPr>
        <w:pStyle w:val="Nagwek3"/>
        <w:numPr>
          <w:ilvl w:val="0"/>
          <w:numId w:val="18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315AF6">
      <w:pPr>
        <w:pStyle w:val="Nagwek4"/>
        <w:numPr>
          <w:ilvl w:val="0"/>
          <w:numId w:val="19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7B0947">
      <w:pPr>
        <w:pStyle w:val="Nagwek4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5ADE6E40" w:rsidR="00297EB3" w:rsidRPr="005B5BDF" w:rsidRDefault="00297EB3" w:rsidP="007B0947">
      <w:pPr>
        <w:pStyle w:val="Nagwek4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7A1F9B58" w:rsidR="00002F1C" w:rsidRPr="005B5BDF" w:rsidRDefault="00002F1C" w:rsidP="007B0947">
      <w:pPr>
        <w:pStyle w:val="Nagwek4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315AF6">
      <w:pPr>
        <w:pStyle w:val="Nagwek3"/>
        <w:numPr>
          <w:ilvl w:val="0"/>
          <w:numId w:val="18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315AF6">
      <w:pPr>
        <w:pStyle w:val="Nagwek3"/>
        <w:numPr>
          <w:ilvl w:val="0"/>
          <w:numId w:val="18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315AF6">
      <w:pPr>
        <w:pStyle w:val="Nagwek3"/>
        <w:numPr>
          <w:ilvl w:val="0"/>
          <w:numId w:val="18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315AF6">
      <w:pPr>
        <w:pStyle w:val="Nagwek3"/>
        <w:numPr>
          <w:ilvl w:val="0"/>
          <w:numId w:val="18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315AF6">
      <w:pPr>
        <w:pStyle w:val="Nagwek3"/>
        <w:numPr>
          <w:ilvl w:val="0"/>
          <w:numId w:val="18"/>
        </w:numPr>
        <w:ind w:left="567" w:hanging="284"/>
        <w:contextualSpacing w:val="0"/>
      </w:pPr>
      <w:r w:rsidRPr="005B5BDF">
        <w:lastRenderedPageBreak/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3C041AF0" w:rsidR="007B0947" w:rsidRDefault="00002F1C" w:rsidP="00315AF6">
      <w:pPr>
        <w:pStyle w:val="Nagwek3"/>
        <w:numPr>
          <w:ilvl w:val="0"/>
          <w:numId w:val="18"/>
        </w:numPr>
        <w:ind w:left="567" w:hanging="284"/>
        <w:contextualSpacing w:val="0"/>
      </w:pPr>
      <w:r w:rsidRPr="005B5BDF">
        <w:t>Oferta 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z </w:t>
      </w:r>
      <w:r w:rsidR="00EE444D" w:rsidRPr="00073AF7">
        <w:rPr>
          <w:b/>
        </w:rPr>
        <w:t>podaniem cen</w:t>
      </w:r>
      <w:r w:rsidR="00D1198C">
        <w:rPr>
          <w:b/>
        </w:rPr>
        <w:t>y</w:t>
      </w:r>
      <w:r w:rsidR="00617534" w:rsidRPr="00073AF7">
        <w:rPr>
          <w:b/>
        </w:rPr>
        <w:t xml:space="preserve"> jednostkow</w:t>
      </w:r>
      <w:r w:rsidR="00D1198C">
        <w:rPr>
          <w:b/>
        </w:rPr>
        <w:t>ej</w:t>
      </w:r>
      <w:r w:rsidR="00617534" w:rsidRPr="00073AF7">
        <w:rPr>
          <w:b/>
        </w:rPr>
        <w:t xml:space="preserve"> netto, wartości netto</w:t>
      </w:r>
      <w:r w:rsidR="00EE444D" w:rsidRPr="00073AF7">
        <w:rPr>
          <w:b/>
        </w:rPr>
        <w:t>, stawki i doliczonej wartości podatku VAT, ceny brutto za przedmiot zamówienia, a także terminu, warunków realizacji za</w:t>
      </w:r>
      <w:r w:rsidR="00EE444D" w:rsidRPr="007B0947">
        <w:rPr>
          <w:b/>
        </w:rPr>
        <w:t>mówienia</w:t>
      </w:r>
      <w:r w:rsidR="001740D0">
        <w:rPr>
          <w:b/>
        </w:rPr>
        <w:t xml:space="preserve">, w tym </w:t>
      </w:r>
      <w:r w:rsidR="0081004B">
        <w:rPr>
          <w:b/>
        </w:rPr>
        <w:t>okresu gwarancji</w:t>
      </w:r>
      <w:r w:rsidR="00EE444D" w:rsidRPr="005B5BDF">
        <w:t xml:space="preserve">;  </w:t>
      </w:r>
    </w:p>
    <w:p w14:paraId="5A520F7C" w14:textId="2B5D260A" w:rsidR="00AF6DA0" w:rsidRPr="00F66F55" w:rsidRDefault="00AF6DA0" w:rsidP="00315AF6">
      <w:pPr>
        <w:pStyle w:val="Nagwek3"/>
        <w:numPr>
          <w:ilvl w:val="0"/>
          <w:numId w:val="18"/>
        </w:numPr>
        <w:ind w:left="567" w:hanging="283"/>
        <w:rPr>
          <w:rFonts w:eastAsia="Arial Unicode MS"/>
        </w:rPr>
      </w:pPr>
      <w:r w:rsidRPr="00F66F55">
        <w:rPr>
          <w:rFonts w:eastAsia="Arial Unicode MS"/>
        </w:rPr>
        <w:t>Wykonawca winien skonkretyzować w formularzu oferty (zał</w:t>
      </w:r>
      <w:r>
        <w:rPr>
          <w:rFonts w:eastAsia="Arial Unicode MS"/>
        </w:rPr>
        <w:t xml:space="preserve">ącznik nr 1A do SWZ) oferowany sprzęt </w:t>
      </w:r>
      <w:r w:rsidRPr="00F66F55">
        <w:rPr>
          <w:rFonts w:eastAsia="Arial Unicode MS"/>
        </w:rPr>
        <w:t>podając nazwę prod</w:t>
      </w:r>
      <w:r>
        <w:rPr>
          <w:rFonts w:eastAsia="Arial Unicode MS"/>
        </w:rPr>
        <w:t xml:space="preserve">ucenta </w:t>
      </w:r>
      <w:r w:rsidR="0081004B">
        <w:rPr>
          <w:rFonts w:eastAsia="Arial Unicode MS"/>
        </w:rPr>
        <w:t>s</w:t>
      </w:r>
      <w:r>
        <w:rPr>
          <w:rFonts w:eastAsia="Arial Unicode MS"/>
        </w:rPr>
        <w:t>przętu wraz z podaniem modelu/typu sprzętu</w:t>
      </w:r>
      <w:r w:rsidRPr="00F66F55">
        <w:rPr>
          <w:rFonts w:eastAsia="Arial Unicode MS"/>
        </w:rPr>
        <w:t xml:space="preserve"> lub innych, przypisanych wyłącznie temu produktowi cech (np. nr katalogowy), jednoznaczni</w:t>
      </w:r>
      <w:r>
        <w:rPr>
          <w:rFonts w:eastAsia="Arial Unicode MS"/>
        </w:rPr>
        <w:t>e identyfikujących zaoferowany sprzęt. W przypadku sprzętu</w:t>
      </w:r>
      <w:r w:rsidRPr="00F66F55">
        <w:rPr>
          <w:rFonts w:eastAsia="Arial Unicode MS"/>
        </w:rPr>
        <w:t>, któr</w:t>
      </w:r>
      <w:r>
        <w:rPr>
          <w:rFonts w:eastAsia="Arial Unicode MS"/>
        </w:rPr>
        <w:t>y</w:t>
      </w:r>
      <w:r w:rsidRPr="00F66F55">
        <w:rPr>
          <w:rFonts w:eastAsia="Arial Unicode MS"/>
        </w:rPr>
        <w:t xml:space="preserve"> nie posiada oznaczeń, o których mowa powyżej, produkowanych na zamówienie, Wykonawca winien w formularzu oferty wskazać w kolumnie model/typ – „wyrób na zamówienie”, „wyrób własny” lub inny równoznaczny zwrot.</w:t>
      </w:r>
    </w:p>
    <w:p w14:paraId="1D73CE36" w14:textId="6543F48E" w:rsidR="00C540B8" w:rsidRPr="005B5BDF" w:rsidRDefault="00915A9C" w:rsidP="00315AF6">
      <w:pPr>
        <w:pStyle w:val="Nagwek3"/>
        <w:numPr>
          <w:ilvl w:val="0"/>
          <w:numId w:val="18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 xml:space="preserve">ustawy </w:t>
      </w:r>
      <w:proofErr w:type="spellStart"/>
      <w:r w:rsidR="00EE6932" w:rsidRPr="005B5BDF">
        <w:t>Pzp</w:t>
      </w:r>
      <w:proofErr w:type="spellEnd"/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915D4D2" w14:textId="04083A37" w:rsidR="007B0947" w:rsidRDefault="00A57F79" w:rsidP="00315AF6">
      <w:pPr>
        <w:pStyle w:val="Nagwek3"/>
        <w:numPr>
          <w:ilvl w:val="0"/>
          <w:numId w:val="20"/>
        </w:numPr>
        <w:ind w:left="567" w:hanging="284"/>
      </w:pPr>
      <w:r w:rsidRPr="005B5BDF">
        <w:t xml:space="preserve">Cena podana w ofercie </w:t>
      </w:r>
      <w:r w:rsidR="0035176B">
        <w:t>po</w:t>
      </w:r>
      <w:r w:rsidRPr="005B5BDF">
        <w:t>winna zawierać wszelkie koszty poniesione w celu należytego i pełnego wykonania zamówienia, zgod</w:t>
      </w:r>
      <w:r w:rsidR="00066CCC" w:rsidRPr="005B5BDF">
        <w:t>nie z wymaganiami opisanymi w dokumentach zamówienia</w:t>
      </w:r>
      <w:r w:rsidR="005B5BA7" w:rsidRPr="005B5BDF">
        <w:t xml:space="preserve">, </w:t>
      </w:r>
      <w:r w:rsidR="00CB38DE">
        <w:t xml:space="preserve">                </w:t>
      </w:r>
      <w:r w:rsidR="005B5BA7" w:rsidRPr="005B5BDF">
        <w:t xml:space="preserve">w szczególności: </w:t>
      </w:r>
      <w:r w:rsidR="005B5BA7" w:rsidRPr="005B5BDF">
        <w:rPr>
          <w:b/>
        </w:rPr>
        <w:t xml:space="preserve">koszt </w:t>
      </w:r>
      <w:r w:rsidR="009F0FC8">
        <w:rPr>
          <w:b/>
        </w:rPr>
        <w:t>sprzętu</w:t>
      </w:r>
      <w:r w:rsidRPr="005B5BDF">
        <w:rPr>
          <w:b/>
        </w:rPr>
        <w:t xml:space="preserve"> wraz z dostarczeniem zgodnie z opisem przedmiotu zamówienia, koszt rozładunku i wniesienia w miejsce wskazane pr</w:t>
      </w:r>
      <w:r w:rsidR="005B5BA7" w:rsidRPr="005B5BDF">
        <w:rPr>
          <w:b/>
        </w:rPr>
        <w:t>zez Zamawiającego</w:t>
      </w:r>
      <w:r w:rsidRPr="005B5BDF">
        <w:rPr>
          <w:b/>
        </w:rPr>
        <w:t>, koszt zapewnienia bezpłatnego serwisu technicznego w</w:t>
      </w:r>
      <w:r w:rsidR="00E23287" w:rsidRPr="005B5BDF">
        <w:rPr>
          <w:b/>
        </w:rPr>
        <w:t> </w:t>
      </w:r>
      <w:r w:rsidRPr="005B5BDF">
        <w:rPr>
          <w:b/>
        </w:rPr>
        <w:t>okresie gwaran</w:t>
      </w:r>
      <w:r w:rsidR="00066CCC" w:rsidRPr="005B5BDF">
        <w:rPr>
          <w:b/>
        </w:rPr>
        <w:t>cyjnym</w:t>
      </w:r>
      <w:r w:rsidR="00066CCC" w:rsidRPr="005B5BDF">
        <w:t>, 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2F8923E0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472861AB" w14:textId="77777777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W</w:t>
      </w:r>
      <w:r w:rsidR="00A57F79" w:rsidRPr="005B5BD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77777777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</w:p>
    <w:p w14:paraId="5A8531E8" w14:textId="03223AFB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77777777" w:rsidR="007B0947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6CC64029" w:rsidR="00A57F79" w:rsidRPr="005B5BDF" w:rsidRDefault="00473F6B" w:rsidP="00315AF6">
      <w:pPr>
        <w:pStyle w:val="Nagwek3"/>
        <w:numPr>
          <w:ilvl w:val="0"/>
          <w:numId w:val="20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 xml:space="preserve">ący dla </w:t>
      </w:r>
      <w:r w:rsidR="00AD7B52" w:rsidRPr="005B5BDF">
        <w:lastRenderedPageBreak/>
        <w:t>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315AF6">
      <w:pPr>
        <w:pStyle w:val="Nagwek3"/>
        <w:numPr>
          <w:ilvl w:val="0"/>
          <w:numId w:val="21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</w:t>
      </w:r>
      <w:proofErr w:type="spellStart"/>
      <w:r w:rsidRPr="005B5BDF">
        <w:t>Pzp</w:t>
      </w:r>
      <w:proofErr w:type="spellEnd"/>
      <w:r w:rsidRPr="005B5BDF">
        <w:t xml:space="preserve">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315AF6">
      <w:pPr>
        <w:pStyle w:val="Nagwek3"/>
        <w:numPr>
          <w:ilvl w:val="0"/>
          <w:numId w:val="21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15AF6">
      <w:pPr>
        <w:pStyle w:val="Nagwek3"/>
        <w:numPr>
          <w:ilvl w:val="0"/>
          <w:numId w:val="21"/>
        </w:numPr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5" w:name="_Toc96068013"/>
      <w:r w:rsidRPr="005B5BDF">
        <w:t>Sposób oraz termin składania ofert.</w:t>
      </w:r>
      <w:bookmarkEnd w:id="25"/>
    </w:p>
    <w:p w14:paraId="57903697" w14:textId="77777777" w:rsidR="007B0947" w:rsidRPr="007B0947" w:rsidRDefault="007B0947" w:rsidP="00315AF6">
      <w:pPr>
        <w:pStyle w:val="Nagwek2"/>
        <w:numPr>
          <w:ilvl w:val="0"/>
          <w:numId w:val="41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780E1A6D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08.09.</w:t>
      </w:r>
      <w:r w:rsidR="00120932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202</w:t>
      </w:r>
      <w:r w:rsidR="00B0024C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3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r.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B47927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przepisu art. 226 ust. 1 pkt 1 ustawy </w:t>
      </w:r>
      <w:proofErr w:type="spellStart"/>
      <w:r w:rsidRPr="005B5BDF">
        <w:rPr>
          <w:lang w:eastAsia="x-none"/>
        </w:rPr>
        <w:t>Pzp</w:t>
      </w:r>
      <w:proofErr w:type="spellEnd"/>
      <w:r w:rsidRPr="005B5BDF">
        <w:rPr>
          <w:lang w:eastAsia="x-none"/>
        </w:rPr>
        <w:t>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</w:t>
      </w:r>
      <w:proofErr w:type="spellStart"/>
      <w:r w:rsidRPr="005B5BDF">
        <w:rPr>
          <w:rFonts w:eastAsia="Arial Unicode MS"/>
        </w:rPr>
        <w:t>Pzp</w:t>
      </w:r>
      <w:proofErr w:type="spellEnd"/>
      <w:r w:rsidRPr="005B5BDF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lastRenderedPageBreak/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0C984927" w:rsidR="007B0947" w:rsidRPr="005B5BDF" w:rsidRDefault="007B0947" w:rsidP="00315AF6">
      <w:pPr>
        <w:pStyle w:val="Nagwek3"/>
        <w:numPr>
          <w:ilvl w:val="0"/>
          <w:numId w:val="42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E15D8B3" w14:textId="77777777" w:rsidR="007B0947" w:rsidRPr="00CB38DE" w:rsidRDefault="007B0947" w:rsidP="00CB38DE">
      <w:pPr>
        <w:pStyle w:val="Tekstpodstawowy"/>
        <w:rPr>
          <w:sz w:val="16"/>
          <w:szCs w:val="16"/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6" w:name="_Toc96068014"/>
      <w:r w:rsidRPr="005B5BDF">
        <w:t>Termin i tryb otwarcia ofert.</w:t>
      </w:r>
      <w:bookmarkEnd w:id="26"/>
    </w:p>
    <w:p w14:paraId="7D3146F9" w14:textId="4946C3EC" w:rsidR="0003593D" w:rsidRPr="005B5BDF" w:rsidRDefault="0003593D" w:rsidP="00315AF6">
      <w:pPr>
        <w:pStyle w:val="Nagwek2"/>
        <w:numPr>
          <w:ilvl w:val="0"/>
          <w:numId w:val="22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3C2AEE4A" w:rsidR="007B0947" w:rsidRPr="002B0578" w:rsidRDefault="0003593D" w:rsidP="00315AF6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  <w:color w:val="1155CC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B15EC6">
        <w:rPr>
          <w:rFonts w:eastAsia="Calibri"/>
          <w:b/>
          <w:color w:val="1155CC"/>
        </w:rPr>
        <w:t>08.09.</w:t>
      </w:r>
      <w:r w:rsidR="007B0947" w:rsidRPr="001824B0">
        <w:rPr>
          <w:rFonts w:eastAsia="Calibri"/>
          <w:b/>
          <w:color w:val="1155CC"/>
        </w:rPr>
        <w:t>202</w:t>
      </w:r>
      <w:r w:rsidR="00167AD7" w:rsidRPr="001824B0">
        <w:rPr>
          <w:rFonts w:eastAsia="Calibri"/>
          <w:b/>
          <w:color w:val="1155CC"/>
        </w:rPr>
        <w:t>3</w:t>
      </w:r>
      <w:r w:rsidR="007B0947" w:rsidRPr="001824B0">
        <w:rPr>
          <w:rFonts w:eastAsia="Calibri"/>
          <w:b/>
          <w:color w:val="1155CC"/>
        </w:rPr>
        <w:t xml:space="preserve"> r</w:t>
      </w:r>
      <w:r w:rsidR="007B0947" w:rsidRPr="002B0578">
        <w:rPr>
          <w:rFonts w:eastAsia="Calibri"/>
          <w:b/>
          <w:color w:val="1155CC"/>
        </w:rPr>
        <w:t>.</w:t>
      </w:r>
      <w:r w:rsidR="00C13AFF" w:rsidRPr="002B0578">
        <w:rPr>
          <w:rFonts w:eastAsia="Calibri"/>
          <w:b/>
          <w:color w:val="1155CC"/>
        </w:rPr>
        <w:t xml:space="preserve"> </w:t>
      </w:r>
      <w:r w:rsidR="009A7AB0" w:rsidRPr="002B0578">
        <w:rPr>
          <w:rFonts w:eastAsia="Calibri"/>
          <w:b/>
          <w:color w:val="1155CC"/>
        </w:rPr>
        <w:t xml:space="preserve">o godz. </w:t>
      </w:r>
      <w:r w:rsidR="00961A75" w:rsidRPr="002B0578">
        <w:rPr>
          <w:rFonts w:eastAsia="Calibri"/>
          <w:b/>
          <w:color w:val="1155CC"/>
        </w:rPr>
        <w:t>1</w:t>
      </w:r>
      <w:r w:rsidR="00B47927">
        <w:rPr>
          <w:rFonts w:eastAsia="Calibri"/>
          <w:b/>
          <w:color w:val="1155CC"/>
        </w:rPr>
        <w:t>0</w:t>
      </w:r>
      <w:r w:rsidR="00961A75" w:rsidRPr="002B0578">
        <w:rPr>
          <w:rFonts w:eastAsia="Calibri"/>
          <w:b/>
          <w:color w:val="1155CC"/>
        </w:rPr>
        <w:t>:</w:t>
      </w:r>
      <w:r w:rsidR="002B0578" w:rsidRPr="002B0578">
        <w:rPr>
          <w:rFonts w:eastAsia="Calibri"/>
          <w:b/>
          <w:color w:val="1155CC"/>
        </w:rPr>
        <w:t>15</w:t>
      </w:r>
      <w:r w:rsidR="009A7AB0" w:rsidRPr="002B0578">
        <w:rPr>
          <w:rFonts w:eastAsia="Calibri"/>
          <w:b/>
          <w:color w:val="1155CC"/>
        </w:rPr>
        <w:t>;</w:t>
      </w:r>
    </w:p>
    <w:p w14:paraId="432E902E" w14:textId="4C26866D" w:rsidR="007B0947" w:rsidRDefault="009A7AB0" w:rsidP="00315AF6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315AF6">
      <w:pPr>
        <w:pStyle w:val="Nagwek3"/>
        <w:numPr>
          <w:ilvl w:val="0"/>
          <w:numId w:val="23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315AF6">
      <w:pPr>
        <w:pStyle w:val="Nagwek3"/>
        <w:numPr>
          <w:ilvl w:val="0"/>
          <w:numId w:val="24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15AF6">
      <w:pPr>
        <w:pStyle w:val="Nagwek3"/>
        <w:numPr>
          <w:ilvl w:val="0"/>
          <w:numId w:val="24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315AF6">
      <w:pPr>
        <w:pStyle w:val="Nagwek4"/>
        <w:numPr>
          <w:ilvl w:val="0"/>
          <w:numId w:val="37"/>
        </w:numPr>
        <w:spacing w:before="0" w:after="0"/>
        <w:ind w:left="851" w:hanging="28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3041C823" w:rsidR="0003593D" w:rsidRPr="005B5BDF" w:rsidRDefault="0003593D" w:rsidP="00CB38DE">
      <w:pPr>
        <w:pStyle w:val="Nagwek4"/>
        <w:spacing w:before="0" w:after="0"/>
        <w:ind w:left="851" w:hanging="28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315AF6">
      <w:pPr>
        <w:pStyle w:val="Nagwek3"/>
        <w:numPr>
          <w:ilvl w:val="0"/>
          <w:numId w:val="24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Zgodnie z przepisami ustawy </w:t>
      </w:r>
      <w:proofErr w:type="spellStart"/>
      <w:r w:rsidRPr="005B5BDF">
        <w:rPr>
          <w:rFonts w:eastAsia="Calibri"/>
        </w:rPr>
        <w:t>Pzp</w:t>
      </w:r>
      <w:proofErr w:type="spellEnd"/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7" w:name="_Toc96068015"/>
      <w:r w:rsidRPr="005B5BDF">
        <w:lastRenderedPageBreak/>
        <w:t>Termin związania ofertą.</w:t>
      </w:r>
      <w:bookmarkEnd w:id="27"/>
      <w:r w:rsidRPr="005B5BDF">
        <w:t xml:space="preserve"> </w:t>
      </w:r>
    </w:p>
    <w:p w14:paraId="2B839405" w14:textId="0FA7F6F1" w:rsidR="00D06776" w:rsidRPr="005B5BDF" w:rsidRDefault="00D06776" w:rsidP="00315AF6">
      <w:pPr>
        <w:pStyle w:val="Nagwek2"/>
        <w:numPr>
          <w:ilvl w:val="0"/>
          <w:numId w:val="25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4E77C708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B15EC6">
        <w:rPr>
          <w:rStyle w:val="Hipercze"/>
          <w:rFonts w:eastAsia="Calibri"/>
          <w:b/>
          <w:u w:val="none"/>
        </w:rPr>
        <w:t>07.10.</w:t>
      </w:r>
      <w:bookmarkStart w:id="28" w:name="_GoBack"/>
      <w:bookmarkEnd w:id="28"/>
      <w:r w:rsidR="00C13AFF" w:rsidRPr="001824B0">
        <w:rPr>
          <w:rStyle w:val="Hipercze"/>
          <w:rFonts w:eastAsia="Calibri"/>
          <w:b/>
          <w:u w:val="none"/>
        </w:rPr>
        <w:t>202</w:t>
      </w:r>
      <w:r w:rsidR="004033EC" w:rsidRPr="001824B0">
        <w:rPr>
          <w:rStyle w:val="Hipercze"/>
          <w:rFonts w:eastAsia="Calibri"/>
          <w:b/>
          <w:u w:val="none"/>
        </w:rPr>
        <w:t>3</w:t>
      </w:r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7B0947">
      <w:pPr>
        <w:pStyle w:val="Nagwek2"/>
        <w:spacing w:after="0" w:line="360" w:lineRule="auto"/>
        <w:ind w:left="284"/>
      </w:pPr>
      <w:r w:rsidRPr="005B5BDF">
        <w:t>Przedłużenie terminu związania ofertą.</w:t>
      </w:r>
    </w:p>
    <w:p w14:paraId="54916018" w14:textId="77777777" w:rsidR="007B0947" w:rsidRDefault="00782008" w:rsidP="00315AF6">
      <w:pPr>
        <w:pStyle w:val="Nagwek3"/>
        <w:numPr>
          <w:ilvl w:val="0"/>
          <w:numId w:val="26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315AF6">
      <w:pPr>
        <w:pStyle w:val="Nagwek3"/>
        <w:numPr>
          <w:ilvl w:val="0"/>
          <w:numId w:val="26"/>
        </w:numPr>
        <w:ind w:left="567" w:hanging="283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315AF6">
      <w:pPr>
        <w:pStyle w:val="Nagwek3"/>
        <w:numPr>
          <w:ilvl w:val="0"/>
          <w:numId w:val="26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29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9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0910F2DC" w:rsidR="00F85C46" w:rsidRPr="005B5BDF" w:rsidRDefault="003C094D" w:rsidP="00315AF6">
      <w:pPr>
        <w:pStyle w:val="Nagwek3"/>
        <w:numPr>
          <w:ilvl w:val="0"/>
          <w:numId w:val="30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315AF6">
        <w:t xml:space="preserve">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ED0956">
        <w:trPr>
          <w:trHeight w:val="319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ED0956">
        <w:trPr>
          <w:trHeight w:val="29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28A9A3A4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2B0578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09E9EECB" w:rsidR="003C3AC5" w:rsidRPr="005B5BDF" w:rsidRDefault="00D1198C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6EE10735" w:rsidR="003C3AC5" w:rsidRPr="005B5BDF" w:rsidRDefault="00D1198C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D1198C" w:rsidRPr="005B5BDF" w14:paraId="3B944CE9" w14:textId="77777777" w:rsidTr="00ED0956">
        <w:trPr>
          <w:trHeight w:val="261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87A4656" w14:textId="08F5340B" w:rsidR="00D1198C" w:rsidRPr="005B5BDF" w:rsidRDefault="00D1198C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5E9436F" w14:textId="6A442D57" w:rsidR="00D1198C" w:rsidRPr="005B5BDF" w:rsidRDefault="00F71AFB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Okres </w:t>
            </w:r>
            <w:r w:rsidR="00D1198C">
              <w:rPr>
                <w:rFonts w:cs="Arial"/>
                <w:color w:val="222A35" w:themeColor="text2" w:themeShade="80"/>
                <w:szCs w:val="20"/>
                <w:lang w:eastAsia="pl-PL"/>
              </w:rPr>
              <w:t>gwarancji (G)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0CCCC45" w14:textId="08119DC2" w:rsidR="00D1198C" w:rsidRDefault="00D1198C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BC54FD4" w14:textId="06AF2456" w:rsidR="00D1198C" w:rsidRDefault="00D1198C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72BEC528" w14:textId="77777777" w:rsidR="00CB38DE" w:rsidRPr="005B5BDF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D45702" w:rsidRDefault="003C094D" w:rsidP="00315AF6">
      <w:pPr>
        <w:pStyle w:val="Nagwek3"/>
        <w:keepNext/>
        <w:numPr>
          <w:ilvl w:val="0"/>
          <w:numId w:val="27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77777777" w:rsidR="00F85C46" w:rsidRPr="00D45702" w:rsidRDefault="00F85C46" w:rsidP="00315AF6">
      <w:pPr>
        <w:pStyle w:val="Nagwek4"/>
        <w:numPr>
          <w:ilvl w:val="0"/>
          <w:numId w:val="29"/>
        </w:numPr>
        <w:spacing w:before="0" w:after="0"/>
        <w:ind w:left="1134" w:hanging="284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66F89B4E" w:rsidR="00F85C46" w:rsidRPr="00D45702" w:rsidRDefault="00F85C46" w:rsidP="00315AF6">
      <w:pPr>
        <w:pStyle w:val="Akapitzlist"/>
        <w:numPr>
          <w:ilvl w:val="0"/>
          <w:numId w:val="2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D45702" w:rsidRDefault="007347EC" w:rsidP="00315AF6">
      <w:pPr>
        <w:pStyle w:val="Akapitzlist"/>
        <w:numPr>
          <w:ilvl w:val="0"/>
          <w:numId w:val="2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315AF6">
      <w:pPr>
        <w:pStyle w:val="Akapitzlist"/>
        <w:numPr>
          <w:ilvl w:val="0"/>
          <w:numId w:val="2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0F71D81E" w:rsidR="00F85C46" w:rsidRPr="009F2A53" w:rsidRDefault="00F85C46" w:rsidP="00927660">
      <w:pPr>
        <w:pStyle w:val="Nagwek4"/>
        <w:spacing w:before="120" w:after="0"/>
        <w:ind w:left="1134" w:hanging="284"/>
        <w:rPr>
          <w:b/>
          <w:color w:val="000000" w:themeColor="text1"/>
        </w:rPr>
      </w:pPr>
      <w:r w:rsidRPr="009F2A53">
        <w:rPr>
          <w:color w:val="000000" w:themeColor="text1"/>
        </w:rPr>
        <w:t xml:space="preserve">zasady przyznawania punktów w kryterium </w:t>
      </w:r>
      <w:r w:rsidRPr="009F2A53">
        <w:rPr>
          <w:b/>
          <w:color w:val="000000" w:themeColor="text1"/>
        </w:rPr>
        <w:t>„termin realizacji zamówienia” (T):</w:t>
      </w:r>
    </w:p>
    <w:p w14:paraId="3A605DF8" w14:textId="60B0DDD7" w:rsidR="00FB1BF5" w:rsidRPr="00CE4834" w:rsidRDefault="00EA5F05" w:rsidP="00FB1BF5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9F2A53">
        <w:rPr>
          <w:rFonts w:cs="Arial"/>
          <w:color w:val="000000" w:themeColor="text1"/>
          <w:szCs w:val="20"/>
          <w:lang w:eastAsia="pl-PL"/>
        </w:rPr>
        <w:t xml:space="preserve">   </w:t>
      </w:r>
      <w:r w:rsidR="00FB1BF5" w:rsidRPr="00CE4834">
        <w:rPr>
          <w:rFonts w:cs="Arial"/>
          <w:color w:val="000000" w:themeColor="text1"/>
          <w:szCs w:val="20"/>
          <w:lang w:eastAsia="pl-PL"/>
        </w:rPr>
        <w:t xml:space="preserve">Punkty za </w:t>
      </w:r>
      <w:r w:rsidR="00FB1BF5" w:rsidRPr="00591ED9">
        <w:rPr>
          <w:rFonts w:cs="Arial"/>
          <w:color w:val="000000" w:themeColor="text1"/>
          <w:szCs w:val="20"/>
          <w:lang w:eastAsia="pl-PL"/>
        </w:rPr>
        <w:t>kryterium „</w:t>
      </w:r>
      <w:r w:rsidR="00FB1BF5">
        <w:rPr>
          <w:rFonts w:cs="Arial"/>
          <w:color w:val="000000" w:themeColor="text1"/>
          <w:szCs w:val="20"/>
          <w:lang w:eastAsia="pl-PL"/>
        </w:rPr>
        <w:t>t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ermin realizacji </w:t>
      </w:r>
      <w:r w:rsidR="00FB1BF5">
        <w:rPr>
          <w:rFonts w:cs="Arial"/>
          <w:color w:val="000000" w:themeColor="text1"/>
          <w:szCs w:val="20"/>
          <w:lang w:eastAsia="pl-PL"/>
        </w:rPr>
        <w:t>zamówienia</w:t>
      </w:r>
      <w:r w:rsidR="00FB1BF5" w:rsidRPr="00591ED9">
        <w:rPr>
          <w:rFonts w:cs="Arial"/>
          <w:color w:val="000000" w:themeColor="text1"/>
          <w:szCs w:val="20"/>
          <w:lang w:eastAsia="pl-PL"/>
        </w:rPr>
        <w:t xml:space="preserve"> (T)” zostaną przyznane w następujący sposób:</w:t>
      </w:r>
    </w:p>
    <w:p w14:paraId="1E01D8D9" w14:textId="77777777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ocena dla tego kryterium będzie obliczana na podstawie złożonego przez Wykonawcę oświadczenia w formular</w:t>
      </w:r>
      <w:r>
        <w:rPr>
          <w:rFonts w:cs="Arial"/>
          <w:color w:val="000000"/>
          <w:szCs w:val="20"/>
          <w:lang w:eastAsia="pl-PL"/>
        </w:rPr>
        <w:t>zu oferty (załącznik nr 1A do S</w:t>
      </w:r>
      <w:r w:rsidRPr="00591ED9">
        <w:rPr>
          <w:rFonts w:cs="Arial"/>
          <w:color w:val="000000"/>
          <w:szCs w:val="20"/>
          <w:lang w:eastAsia="pl-PL"/>
        </w:rPr>
        <w:t>WZ);</w:t>
      </w:r>
    </w:p>
    <w:p w14:paraId="47E8C9EF" w14:textId="3FF35317" w:rsidR="00FB1BF5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lastRenderedPageBreak/>
        <w:t xml:space="preserve">jeżeli Wykonawca zaoferuje maksymalny </w:t>
      </w:r>
      <w:r>
        <w:rPr>
          <w:rFonts w:cs="Arial"/>
          <w:szCs w:val="20"/>
          <w:lang w:eastAsia="pl-PL"/>
        </w:rPr>
        <w:t xml:space="preserve">dopuszczalny </w:t>
      </w:r>
      <w:r w:rsidRPr="00591ED9">
        <w:rPr>
          <w:rFonts w:cs="Arial"/>
          <w:szCs w:val="20"/>
          <w:lang w:eastAsia="pl-PL"/>
        </w:rPr>
        <w:t xml:space="preserve">termin realizacji, zgodnie z zapisami rozdz. II ust. </w:t>
      </w:r>
      <w:r>
        <w:rPr>
          <w:rFonts w:cs="Arial"/>
          <w:szCs w:val="20"/>
          <w:lang w:eastAsia="pl-PL"/>
        </w:rPr>
        <w:t xml:space="preserve">8 SWZ, tj. </w:t>
      </w:r>
      <w:r w:rsidR="00ED0956">
        <w:rPr>
          <w:rFonts w:cs="Arial"/>
          <w:szCs w:val="20"/>
          <w:lang w:eastAsia="pl-PL"/>
        </w:rPr>
        <w:t>20</w:t>
      </w:r>
      <w:r>
        <w:rPr>
          <w:rFonts w:cs="Arial"/>
          <w:szCs w:val="20"/>
          <w:lang w:eastAsia="pl-PL"/>
        </w:rPr>
        <w:t xml:space="preserve"> dni </w:t>
      </w:r>
      <w:r w:rsidRPr="00591ED9">
        <w:rPr>
          <w:rFonts w:cs="Arial"/>
          <w:szCs w:val="20"/>
          <w:lang w:eastAsia="pl-PL"/>
        </w:rPr>
        <w:t xml:space="preserve">od daty </w:t>
      </w:r>
      <w:r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– otrzyma w kryterium</w:t>
      </w:r>
      <w:r w:rsidRPr="00591ED9">
        <w:rPr>
          <w:rFonts w:eastAsia="Calibri" w:cs="Arial"/>
          <w:b/>
          <w:szCs w:val="20"/>
          <w:lang w:eastAsia="pl-PL"/>
        </w:rPr>
        <w:t xml:space="preserve"> </w:t>
      </w:r>
      <w:r w:rsidRPr="00591ED9">
        <w:rPr>
          <w:rFonts w:eastAsia="Calibri" w:cs="Arial"/>
          <w:szCs w:val="20"/>
          <w:lang w:eastAsia="pl-PL"/>
        </w:rPr>
        <w:t xml:space="preserve">„termin realizacji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>”</w:t>
      </w:r>
      <w:r w:rsidRPr="00591ED9">
        <w:rPr>
          <w:rFonts w:cs="Arial"/>
          <w:szCs w:val="20"/>
          <w:lang w:eastAsia="pl-PL"/>
        </w:rPr>
        <w:t xml:space="preserve"> liczbę punktów wynoszącą 0. </w:t>
      </w:r>
    </w:p>
    <w:p w14:paraId="4897AC24" w14:textId="6A2D9C20" w:rsidR="00FB1BF5" w:rsidRPr="00591ED9" w:rsidRDefault="00FB1BF5" w:rsidP="00FB1BF5">
      <w:pPr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 xml:space="preserve">-  </w:t>
      </w:r>
      <w:r w:rsidR="00CD08FA">
        <w:rPr>
          <w:rFonts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jeżeli zaoferowany w ofercie </w:t>
      </w:r>
      <w:r w:rsidRPr="00591ED9">
        <w:rPr>
          <w:rFonts w:eastAsia="Calibri" w:cs="Arial"/>
          <w:szCs w:val="20"/>
          <w:lang w:eastAsia="pl-PL"/>
        </w:rPr>
        <w:t xml:space="preserve">termin realizacji </w:t>
      </w:r>
      <w:r>
        <w:rPr>
          <w:rFonts w:eastAsia="Calibri" w:cs="Arial"/>
          <w:szCs w:val="20"/>
          <w:lang w:eastAsia="pl-PL"/>
        </w:rPr>
        <w:t>zamówienia</w:t>
      </w:r>
      <w:r w:rsidRPr="00591ED9">
        <w:rPr>
          <w:rFonts w:eastAsia="Calibri" w:cs="Arial"/>
          <w:szCs w:val="20"/>
          <w:lang w:eastAsia="pl-PL"/>
        </w:rPr>
        <w:t xml:space="preserve"> </w:t>
      </w:r>
      <w:r w:rsidRPr="00591ED9">
        <w:rPr>
          <w:rFonts w:cs="Arial"/>
          <w:szCs w:val="20"/>
          <w:lang w:eastAsia="pl-PL"/>
        </w:rPr>
        <w:t xml:space="preserve">będzie dłuższy od maksymalnego dopuszczalnego zgodnie z zapisami rozdz. II ust. </w:t>
      </w:r>
      <w:r>
        <w:rPr>
          <w:rFonts w:cs="Arial"/>
          <w:szCs w:val="20"/>
          <w:lang w:eastAsia="pl-PL"/>
        </w:rPr>
        <w:t xml:space="preserve">8 SWZ, tj. dłuższy niż </w:t>
      </w:r>
      <w:r w:rsidR="00302506">
        <w:rPr>
          <w:rFonts w:cs="Arial"/>
          <w:szCs w:val="20"/>
          <w:lang w:eastAsia="pl-PL"/>
        </w:rPr>
        <w:t xml:space="preserve">20 </w:t>
      </w:r>
      <w:r>
        <w:rPr>
          <w:rFonts w:cs="Arial"/>
          <w:szCs w:val="20"/>
          <w:lang w:eastAsia="pl-PL"/>
        </w:rPr>
        <w:t xml:space="preserve">dni </w:t>
      </w:r>
      <w:r w:rsidRPr="00591ED9">
        <w:rPr>
          <w:rFonts w:cs="Arial"/>
          <w:szCs w:val="20"/>
          <w:lang w:eastAsia="pl-PL"/>
        </w:rPr>
        <w:t xml:space="preserve">od daty </w:t>
      </w:r>
      <w:r>
        <w:rPr>
          <w:rFonts w:eastAsia="Calibri" w:cs="Arial"/>
          <w:szCs w:val="20"/>
          <w:lang w:eastAsia="pl-PL"/>
        </w:rPr>
        <w:t>zawarcia umowy</w:t>
      </w:r>
      <w:r w:rsidRPr="00591ED9">
        <w:rPr>
          <w:rFonts w:cs="Arial"/>
          <w:szCs w:val="20"/>
          <w:lang w:eastAsia="pl-PL"/>
        </w:rPr>
        <w:t xml:space="preserve"> - </w:t>
      </w:r>
      <w:r w:rsidRPr="00FE1D79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FE1D79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FE1D79">
        <w:rPr>
          <w:rFonts w:eastAsia="Palatino Linotype" w:cs="Arial"/>
          <w:color w:val="000000"/>
          <w:szCs w:val="20"/>
          <w:lang w:eastAsia="pl-PL"/>
        </w:rPr>
        <w:t>;</w:t>
      </w:r>
    </w:p>
    <w:p w14:paraId="7DB3C481" w14:textId="13FC5834" w:rsidR="00FB1BF5" w:rsidRPr="0007394F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color w:val="000000"/>
          <w:szCs w:val="20"/>
          <w:lang w:eastAsia="pl-PL"/>
        </w:rPr>
        <w:t>niezłożenie oświadczenia o termini</w:t>
      </w:r>
      <w:r>
        <w:rPr>
          <w:rFonts w:cs="Arial"/>
          <w:color w:val="000000"/>
          <w:szCs w:val="20"/>
          <w:lang w:eastAsia="pl-PL"/>
        </w:rPr>
        <w:t xml:space="preserve">e realizacji zamówienia </w:t>
      </w:r>
      <w:r w:rsidRPr="00591ED9">
        <w:rPr>
          <w:rFonts w:cs="Arial"/>
          <w:color w:val="000000"/>
          <w:szCs w:val="20"/>
          <w:lang w:eastAsia="pl-PL"/>
        </w:rPr>
        <w:t xml:space="preserve">– </w:t>
      </w:r>
      <w:r w:rsidR="0007394F">
        <w:rPr>
          <w:rFonts w:cs="Arial"/>
          <w:color w:val="000000"/>
          <w:szCs w:val="20"/>
          <w:lang w:eastAsia="pl-PL"/>
        </w:rPr>
        <w:t xml:space="preserve">oferta zostanie odrzucona na podstawie art. 226 ust. 1 pkt 5) ustawy </w:t>
      </w:r>
      <w:proofErr w:type="spellStart"/>
      <w:r w:rsidR="0007394F">
        <w:rPr>
          <w:rFonts w:cs="Arial"/>
          <w:color w:val="000000"/>
          <w:szCs w:val="20"/>
          <w:lang w:eastAsia="pl-PL"/>
        </w:rPr>
        <w:t>Pzp</w:t>
      </w:r>
      <w:proofErr w:type="spellEnd"/>
      <w:r w:rsidRPr="0007394F">
        <w:rPr>
          <w:rFonts w:cs="Arial"/>
          <w:color w:val="000000"/>
          <w:szCs w:val="20"/>
          <w:lang w:eastAsia="pl-PL"/>
        </w:rPr>
        <w:t>,</w:t>
      </w:r>
    </w:p>
    <w:p w14:paraId="74868A7D" w14:textId="14A28EC0" w:rsidR="00FB1BF5" w:rsidRPr="00F71AFB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 xml:space="preserve">Wykonawca podając termin winien określić </w:t>
      </w:r>
      <w:r w:rsidRPr="00591ED9">
        <w:rPr>
          <w:rFonts w:cs="Arial"/>
          <w:b/>
          <w:szCs w:val="20"/>
        </w:rPr>
        <w:t xml:space="preserve">pełne dni </w:t>
      </w:r>
      <w:r w:rsidRPr="00591ED9">
        <w:rPr>
          <w:rFonts w:cs="Arial"/>
          <w:szCs w:val="20"/>
        </w:rPr>
        <w:t xml:space="preserve">potrzebne na zrealizowanie zamówienia, licząc od daty </w:t>
      </w:r>
      <w:r>
        <w:rPr>
          <w:rFonts w:cs="Arial"/>
          <w:szCs w:val="20"/>
        </w:rPr>
        <w:t>zawarcia umowy</w:t>
      </w:r>
      <w:r w:rsidRPr="00591ED9">
        <w:rPr>
          <w:rFonts w:cs="Arial"/>
          <w:szCs w:val="20"/>
        </w:rPr>
        <w:t>,</w:t>
      </w:r>
    </w:p>
    <w:p w14:paraId="7348A8BA" w14:textId="176A4B89" w:rsidR="00F71AFB" w:rsidRPr="002E60BD" w:rsidRDefault="00F71AFB" w:rsidP="00F71AFB">
      <w:pPr>
        <w:numPr>
          <w:ilvl w:val="1"/>
          <w:numId w:val="4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eastAsia="Arial Unicode MS" w:cs="Arial"/>
          <w:szCs w:val="20"/>
          <w:lang w:eastAsia="pl-PL"/>
        </w:rPr>
        <w:t>Termin realizacji zamówienia</w:t>
      </w:r>
      <w:r w:rsidRPr="002E60BD">
        <w:rPr>
          <w:rFonts w:eastAsia="Arial Unicode MS" w:cs="Arial"/>
          <w:szCs w:val="20"/>
          <w:lang w:eastAsia="pl-PL"/>
        </w:rPr>
        <w:t xml:space="preserve"> należy podać liczbowo i słownie. W przypadku rozbieżności w zakresie </w:t>
      </w:r>
      <w:r>
        <w:rPr>
          <w:rFonts w:eastAsia="Arial Unicode MS" w:cs="Arial"/>
          <w:szCs w:val="20"/>
          <w:lang w:eastAsia="pl-PL"/>
        </w:rPr>
        <w:t>terminu realizacji</w:t>
      </w:r>
      <w:r w:rsidRPr="002E60BD">
        <w:rPr>
          <w:rFonts w:eastAsia="Arial Unicode MS" w:cs="Arial"/>
          <w:szCs w:val="20"/>
          <w:lang w:eastAsia="pl-PL"/>
        </w:rPr>
        <w:t xml:space="preserve"> podanego liczbowo i słownie, Zamawiający za obowiązujący uzna </w:t>
      </w:r>
      <w:r>
        <w:rPr>
          <w:rFonts w:eastAsia="Arial Unicode MS" w:cs="Arial"/>
          <w:szCs w:val="20"/>
          <w:lang w:eastAsia="pl-PL"/>
        </w:rPr>
        <w:t>termin realizacji</w:t>
      </w:r>
      <w:r w:rsidRPr="002E60BD">
        <w:rPr>
          <w:rFonts w:eastAsia="Arial Unicode MS" w:cs="Arial"/>
          <w:szCs w:val="20"/>
          <w:lang w:eastAsia="pl-PL"/>
        </w:rPr>
        <w:t xml:space="preserve"> podany słownie.</w:t>
      </w:r>
    </w:p>
    <w:p w14:paraId="687BC08A" w14:textId="228180F2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591ED9">
        <w:rPr>
          <w:rFonts w:cs="Arial"/>
          <w:szCs w:val="20"/>
        </w:rPr>
        <w:t>W przypadku podania te</w:t>
      </w:r>
      <w:r>
        <w:rPr>
          <w:rFonts w:cs="Arial"/>
          <w:szCs w:val="20"/>
        </w:rPr>
        <w:t xml:space="preserve">rminu w niepełnych dniach np.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6</w:t>
      </w:r>
      <w:r w:rsidRPr="00591ED9">
        <w:rPr>
          <w:rFonts w:cs="Arial"/>
          <w:szCs w:val="20"/>
        </w:rPr>
        <w:t xml:space="preserve">,5 dnia, Zamawiający do celów punktacji zaokrągli podany termin w górę do pełnych dni (np. podanie terminu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6</w:t>
      </w:r>
      <w:r>
        <w:rPr>
          <w:rFonts w:cs="Arial"/>
          <w:szCs w:val="20"/>
        </w:rPr>
        <w:t>,5</w:t>
      </w:r>
      <w:r w:rsidRPr="00591ED9">
        <w:rPr>
          <w:rFonts w:cs="Arial"/>
          <w:szCs w:val="20"/>
        </w:rPr>
        <w:t xml:space="preserve"> dni</w:t>
      </w:r>
      <w:r>
        <w:rPr>
          <w:rFonts w:cs="Arial"/>
          <w:szCs w:val="20"/>
        </w:rPr>
        <w:t>a</w:t>
      </w:r>
      <w:r w:rsidRPr="00591ED9">
        <w:rPr>
          <w:rFonts w:cs="Arial"/>
          <w:szCs w:val="20"/>
        </w:rPr>
        <w:t xml:space="preserve"> – Zamawiający zaokrągli termin w górę d</w:t>
      </w:r>
      <w:r>
        <w:rPr>
          <w:rFonts w:cs="Arial"/>
          <w:szCs w:val="20"/>
        </w:rPr>
        <w:t xml:space="preserve">o </w:t>
      </w:r>
      <w:r w:rsidR="00CD08FA">
        <w:rPr>
          <w:rFonts w:cs="Arial"/>
          <w:szCs w:val="20"/>
        </w:rPr>
        <w:t>1</w:t>
      </w:r>
      <w:r w:rsidR="00997B60">
        <w:rPr>
          <w:rFonts w:cs="Arial"/>
          <w:szCs w:val="20"/>
        </w:rPr>
        <w:t>7</w:t>
      </w:r>
      <w:r w:rsidRPr="00591ED9">
        <w:rPr>
          <w:rFonts w:cs="Arial"/>
          <w:szCs w:val="20"/>
        </w:rPr>
        <w:t xml:space="preserve"> dni);</w:t>
      </w:r>
    </w:p>
    <w:p w14:paraId="6E9653F5" w14:textId="18DF618A" w:rsidR="00FB1BF5" w:rsidRPr="00591ED9" w:rsidRDefault="00FB1BF5" w:rsidP="00FB1BF5">
      <w:pPr>
        <w:numPr>
          <w:ilvl w:val="1"/>
          <w:numId w:val="4"/>
        </w:numPr>
        <w:ind w:left="1418" w:hanging="284"/>
        <w:contextualSpacing/>
        <w:rPr>
          <w:rFonts w:cs="Arial"/>
          <w:szCs w:val="20"/>
          <w:lang w:eastAsia="pl-PL"/>
        </w:rPr>
      </w:pPr>
      <w:r w:rsidRPr="00591ED9">
        <w:rPr>
          <w:rFonts w:cs="Arial"/>
          <w:szCs w:val="20"/>
          <w:lang w:eastAsia="pl-PL"/>
        </w:rPr>
        <w:t>punkty w tym kryterium „</w:t>
      </w:r>
      <w:r w:rsidRPr="00591ED9">
        <w:rPr>
          <w:rFonts w:cs="Arial"/>
          <w:szCs w:val="20"/>
        </w:rPr>
        <w:t xml:space="preserve">termin realizacji </w:t>
      </w:r>
      <w:r>
        <w:rPr>
          <w:rFonts w:cs="Arial"/>
          <w:szCs w:val="20"/>
        </w:rPr>
        <w:t>zamówienia</w:t>
      </w:r>
      <w:r w:rsidRPr="00591ED9">
        <w:rPr>
          <w:rFonts w:cs="Arial"/>
          <w:szCs w:val="20"/>
        </w:rPr>
        <w:t xml:space="preserve">” </w:t>
      </w:r>
      <w:r w:rsidRPr="00591ED9">
        <w:rPr>
          <w:rFonts w:cs="Arial"/>
          <w:szCs w:val="20"/>
          <w:lang w:eastAsia="pl-PL"/>
        </w:rPr>
        <w:t xml:space="preserve">będą przyznawane wg. zasady: </w:t>
      </w:r>
    </w:p>
    <w:p w14:paraId="181FD871" w14:textId="216E4CDF" w:rsidR="00FB1BF5" w:rsidRPr="001A4EEE" w:rsidRDefault="00FB1BF5" w:rsidP="00FB1BF5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-- termin </w:t>
      </w:r>
      <w:r w:rsidRPr="001A4EEE">
        <w:rPr>
          <w:rFonts w:eastAsia="Palatino Linotype" w:cs="Arial"/>
          <w:szCs w:val="20"/>
          <w:lang w:eastAsia="pl-PL"/>
        </w:rPr>
        <w:t>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CD08FA">
        <w:rPr>
          <w:rFonts w:eastAsia="Palatino Linotype" w:cs="Arial"/>
          <w:b/>
          <w:szCs w:val="20"/>
          <w:lang w:eastAsia="pl-PL"/>
        </w:rPr>
        <w:t>20</w:t>
      </w:r>
      <w:r w:rsidRPr="001A4EEE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 w:rsidRPr="001A4EEE">
        <w:rPr>
          <w:rFonts w:eastAsia="Palatino Linotype" w:cs="Arial"/>
          <w:b/>
          <w:szCs w:val="20"/>
          <w:lang w:eastAsia="pl-PL"/>
        </w:rPr>
        <w:t>0,00 pkt,</w:t>
      </w:r>
    </w:p>
    <w:p w14:paraId="18BF1309" w14:textId="1F7F184D" w:rsidR="00FB1BF5" w:rsidRPr="001A4EEE" w:rsidRDefault="00FB1BF5" w:rsidP="00FB1BF5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>-- termin 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CD08FA">
        <w:rPr>
          <w:rFonts w:eastAsia="Palatino Linotype" w:cs="Arial"/>
          <w:b/>
          <w:szCs w:val="20"/>
          <w:lang w:eastAsia="pl-PL"/>
        </w:rPr>
        <w:t xml:space="preserve">19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 w:rsidR="001E1CE8">
        <w:rPr>
          <w:rFonts w:eastAsia="Palatino Linotype" w:cs="Arial"/>
          <w:b/>
          <w:szCs w:val="20"/>
          <w:lang w:eastAsia="pl-PL"/>
        </w:rPr>
        <w:t>2</w:t>
      </w:r>
      <w:r w:rsidR="001A4EEE" w:rsidRPr="001A4EEE">
        <w:rPr>
          <w:rFonts w:eastAsia="Palatino Linotype" w:cs="Arial"/>
          <w:b/>
          <w:szCs w:val="20"/>
          <w:lang w:eastAsia="pl-PL"/>
        </w:rPr>
        <w:t>,0</w:t>
      </w:r>
      <w:r w:rsidRPr="001A4EEE">
        <w:rPr>
          <w:rFonts w:eastAsia="Palatino Linotype" w:cs="Arial"/>
          <w:b/>
          <w:szCs w:val="20"/>
          <w:lang w:eastAsia="pl-PL"/>
        </w:rPr>
        <w:t>0 pkt,</w:t>
      </w:r>
    </w:p>
    <w:p w14:paraId="754A0BA5" w14:textId="1F3B054E" w:rsidR="00FB1BF5" w:rsidRDefault="00FB1BF5" w:rsidP="00FB1BF5">
      <w:pPr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 xml:space="preserve">             </w:t>
      </w:r>
      <w:r w:rsidR="004F4179">
        <w:rPr>
          <w:rFonts w:eastAsia="Palatino Linotype" w:cs="Arial"/>
          <w:szCs w:val="20"/>
          <w:lang w:eastAsia="pl-PL"/>
        </w:rPr>
        <w:t xml:space="preserve">  </w:t>
      </w:r>
      <w:r w:rsidRPr="001A4EEE">
        <w:rPr>
          <w:rFonts w:eastAsia="Palatino Linotype" w:cs="Arial"/>
          <w:szCs w:val="20"/>
          <w:lang w:eastAsia="pl-PL"/>
        </w:rPr>
        <w:t xml:space="preserve"> -- termin 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18</w:t>
      </w:r>
      <w:r w:rsidR="001A4EEE"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>–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1E1CE8">
        <w:rPr>
          <w:rFonts w:eastAsia="Palatino Linotype" w:cs="Arial"/>
          <w:b/>
          <w:szCs w:val="20"/>
          <w:lang w:eastAsia="pl-PL"/>
        </w:rPr>
        <w:t>4</w:t>
      </w:r>
      <w:r w:rsidRPr="001A4EEE">
        <w:rPr>
          <w:rFonts w:eastAsia="Palatino Linotype" w:cs="Arial"/>
          <w:b/>
          <w:szCs w:val="20"/>
          <w:lang w:eastAsia="pl-PL"/>
        </w:rPr>
        <w:t>,00 pkt,</w:t>
      </w:r>
    </w:p>
    <w:p w14:paraId="635139F7" w14:textId="060FB130" w:rsidR="004F4179" w:rsidRPr="004F4179" w:rsidRDefault="004F4179" w:rsidP="00FB1BF5">
      <w:pPr>
        <w:rPr>
          <w:rFonts w:eastAsia="Palatino Linotype" w:cs="Arial"/>
          <w:szCs w:val="20"/>
          <w:lang w:eastAsia="pl-PL"/>
        </w:rPr>
      </w:pPr>
      <w:r>
        <w:rPr>
          <w:rFonts w:eastAsia="Palatino Linotype" w:cs="Arial"/>
          <w:szCs w:val="20"/>
          <w:lang w:eastAsia="pl-PL"/>
        </w:rPr>
        <w:t xml:space="preserve">                </w:t>
      </w:r>
      <w:r w:rsidRPr="004F4179">
        <w:rPr>
          <w:rFonts w:eastAsia="Palatino Linotype" w:cs="Arial"/>
          <w:szCs w:val="20"/>
          <w:lang w:eastAsia="pl-PL"/>
        </w:rPr>
        <w:t xml:space="preserve">-- </w:t>
      </w:r>
      <w:r w:rsidRPr="001A4EEE">
        <w:rPr>
          <w:rFonts w:eastAsia="Palatino Linotype" w:cs="Arial"/>
          <w:szCs w:val="20"/>
          <w:lang w:eastAsia="pl-PL"/>
        </w:rPr>
        <w:t>termin realizacji:</w:t>
      </w:r>
      <w:r>
        <w:rPr>
          <w:rFonts w:eastAsia="Palatino Linotype" w:cs="Arial"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17</w:t>
      </w:r>
      <w:r w:rsidRPr="004F4179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 w:rsidR="001E1CE8">
        <w:rPr>
          <w:rFonts w:eastAsia="Palatino Linotype" w:cs="Arial"/>
          <w:b/>
          <w:szCs w:val="20"/>
          <w:lang w:eastAsia="pl-PL"/>
        </w:rPr>
        <w:t>6</w:t>
      </w:r>
      <w:r w:rsidRPr="001A4EEE">
        <w:rPr>
          <w:rFonts w:eastAsia="Palatino Linotype" w:cs="Arial"/>
          <w:b/>
          <w:szCs w:val="20"/>
          <w:lang w:eastAsia="pl-PL"/>
        </w:rPr>
        <w:t>,00 pkt</w:t>
      </w:r>
    </w:p>
    <w:p w14:paraId="34ADAECE" w14:textId="2B3C9B7C" w:rsidR="00FB1BF5" w:rsidRDefault="00FB1BF5" w:rsidP="00FB1BF5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>--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szCs w:val="20"/>
          <w:lang w:eastAsia="pl-PL"/>
        </w:rPr>
        <w:t>termin realizacji:</w:t>
      </w:r>
      <w:r w:rsidR="001A4EEE" w:rsidRPr="001A4EEE">
        <w:rPr>
          <w:rFonts w:eastAsia="Palatino Linotype" w:cs="Arial"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16</w:t>
      </w:r>
      <w:r w:rsidR="001A4EEE" w:rsidRPr="001A4EEE">
        <w:rPr>
          <w:rFonts w:eastAsia="Palatino Linotype" w:cs="Arial"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 w:rsidR="001E1CE8">
        <w:rPr>
          <w:rFonts w:eastAsia="Palatino Linotype" w:cs="Arial"/>
          <w:b/>
          <w:szCs w:val="20"/>
          <w:lang w:eastAsia="pl-PL"/>
        </w:rPr>
        <w:t>8</w:t>
      </w:r>
      <w:r w:rsidRPr="001A4EEE">
        <w:rPr>
          <w:rFonts w:eastAsia="Palatino Linotype" w:cs="Arial"/>
          <w:b/>
          <w:szCs w:val="20"/>
          <w:lang w:eastAsia="pl-PL"/>
        </w:rPr>
        <w:t>,00 pkt,</w:t>
      </w:r>
    </w:p>
    <w:p w14:paraId="68717AA2" w14:textId="61C7196C" w:rsidR="001E1CE8" w:rsidRPr="001A4EEE" w:rsidRDefault="001E1CE8" w:rsidP="001E1CE8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-- termin </w:t>
      </w:r>
      <w:r w:rsidRPr="001A4EEE">
        <w:rPr>
          <w:rFonts w:eastAsia="Palatino Linotype" w:cs="Arial"/>
          <w:szCs w:val="20"/>
          <w:lang w:eastAsia="pl-PL"/>
        </w:rPr>
        <w:t>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15</w:t>
      </w:r>
      <w:r w:rsidRPr="001A4EEE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10</w:t>
      </w:r>
      <w:r w:rsidRPr="001A4EEE">
        <w:rPr>
          <w:rFonts w:eastAsia="Palatino Linotype" w:cs="Arial"/>
          <w:b/>
          <w:szCs w:val="20"/>
          <w:lang w:eastAsia="pl-PL"/>
        </w:rPr>
        <w:t>,00 pkt,</w:t>
      </w:r>
    </w:p>
    <w:p w14:paraId="647A8D97" w14:textId="2B20972C" w:rsidR="001E1CE8" w:rsidRPr="001A4EEE" w:rsidRDefault="001E1CE8" w:rsidP="001E1CE8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>-- termin 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14</w:t>
      </w:r>
      <w:r w:rsidRPr="001A4EEE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12</w:t>
      </w:r>
      <w:r w:rsidRPr="001A4EEE">
        <w:rPr>
          <w:rFonts w:eastAsia="Palatino Linotype" w:cs="Arial"/>
          <w:b/>
          <w:szCs w:val="20"/>
          <w:lang w:eastAsia="pl-PL"/>
        </w:rPr>
        <w:t>,00 pkt,</w:t>
      </w:r>
    </w:p>
    <w:p w14:paraId="4C96B38B" w14:textId="78B9C05C" w:rsidR="001E1CE8" w:rsidRDefault="001E1CE8" w:rsidP="001E1CE8">
      <w:pPr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 xml:space="preserve">             </w:t>
      </w:r>
      <w:r>
        <w:rPr>
          <w:rFonts w:eastAsia="Palatino Linotype" w:cs="Arial"/>
          <w:szCs w:val="20"/>
          <w:lang w:eastAsia="pl-PL"/>
        </w:rPr>
        <w:t xml:space="preserve">  </w:t>
      </w:r>
      <w:r w:rsidRPr="001A4EEE">
        <w:rPr>
          <w:rFonts w:eastAsia="Palatino Linotype" w:cs="Arial"/>
          <w:szCs w:val="20"/>
          <w:lang w:eastAsia="pl-PL"/>
        </w:rPr>
        <w:t xml:space="preserve"> -- termin 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13</w:t>
      </w:r>
      <w:r w:rsidRPr="001A4EEE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Pr="001A4EEE">
        <w:rPr>
          <w:rFonts w:eastAsia="Palatino Linotype" w:cs="Arial"/>
          <w:szCs w:val="20"/>
          <w:lang w:eastAsia="pl-PL"/>
        </w:rPr>
        <w:t>–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>
        <w:rPr>
          <w:rFonts w:eastAsia="Palatino Linotype" w:cs="Arial"/>
          <w:b/>
          <w:szCs w:val="20"/>
          <w:lang w:eastAsia="pl-PL"/>
        </w:rPr>
        <w:t>14</w:t>
      </w:r>
      <w:r w:rsidRPr="001A4EEE">
        <w:rPr>
          <w:rFonts w:eastAsia="Palatino Linotype" w:cs="Arial"/>
          <w:b/>
          <w:szCs w:val="20"/>
          <w:lang w:eastAsia="pl-PL"/>
        </w:rPr>
        <w:t>,00 pkt,</w:t>
      </w:r>
    </w:p>
    <w:p w14:paraId="4C72C598" w14:textId="17919475" w:rsidR="001E1CE8" w:rsidRPr="004F4179" w:rsidRDefault="001E1CE8" w:rsidP="001E1CE8">
      <w:pPr>
        <w:rPr>
          <w:rFonts w:eastAsia="Palatino Linotype" w:cs="Arial"/>
          <w:szCs w:val="20"/>
          <w:lang w:eastAsia="pl-PL"/>
        </w:rPr>
      </w:pPr>
      <w:r>
        <w:rPr>
          <w:rFonts w:eastAsia="Palatino Linotype" w:cs="Arial"/>
          <w:szCs w:val="20"/>
          <w:lang w:eastAsia="pl-PL"/>
        </w:rPr>
        <w:t xml:space="preserve">                </w:t>
      </w:r>
      <w:r w:rsidRPr="004F4179">
        <w:rPr>
          <w:rFonts w:eastAsia="Palatino Linotype" w:cs="Arial"/>
          <w:szCs w:val="20"/>
          <w:lang w:eastAsia="pl-PL"/>
        </w:rPr>
        <w:t xml:space="preserve">-- </w:t>
      </w:r>
      <w:r w:rsidRPr="001A4EEE">
        <w:rPr>
          <w:rFonts w:eastAsia="Palatino Linotype" w:cs="Arial"/>
          <w:szCs w:val="20"/>
          <w:lang w:eastAsia="pl-PL"/>
        </w:rPr>
        <w:t>termin realizacji:</w:t>
      </w:r>
      <w:r>
        <w:rPr>
          <w:rFonts w:eastAsia="Palatino Linotype" w:cs="Arial"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12</w:t>
      </w:r>
      <w:r w:rsidRPr="004F4179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16</w:t>
      </w:r>
      <w:r w:rsidRPr="001A4EEE">
        <w:rPr>
          <w:rFonts w:eastAsia="Palatino Linotype" w:cs="Arial"/>
          <w:b/>
          <w:szCs w:val="20"/>
          <w:lang w:eastAsia="pl-PL"/>
        </w:rPr>
        <w:t>,00 pkt</w:t>
      </w:r>
    </w:p>
    <w:p w14:paraId="6A1339D9" w14:textId="0E7D3064" w:rsidR="001E1CE8" w:rsidRDefault="001E1CE8" w:rsidP="001E1CE8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1A4EEE">
        <w:rPr>
          <w:rFonts w:eastAsia="Palatino Linotype" w:cs="Arial"/>
          <w:szCs w:val="20"/>
          <w:lang w:eastAsia="pl-PL"/>
        </w:rPr>
        <w:t>--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Pr="001A4EEE">
        <w:rPr>
          <w:rFonts w:eastAsia="Palatino Linotype" w:cs="Arial"/>
          <w:szCs w:val="20"/>
          <w:lang w:eastAsia="pl-PL"/>
        </w:rPr>
        <w:t xml:space="preserve">termin realizacji: </w:t>
      </w:r>
      <w:r w:rsidR="00D80B9C">
        <w:rPr>
          <w:rFonts w:eastAsia="Palatino Linotype" w:cs="Arial"/>
          <w:b/>
          <w:szCs w:val="20"/>
          <w:lang w:eastAsia="pl-PL"/>
        </w:rPr>
        <w:t>11</w:t>
      </w:r>
      <w:r w:rsidRPr="001A4EEE">
        <w:rPr>
          <w:rFonts w:eastAsia="Palatino Linotype" w:cs="Arial"/>
          <w:szCs w:val="20"/>
          <w:lang w:eastAsia="pl-PL"/>
        </w:rPr>
        <w:t xml:space="preserve"> </w:t>
      </w:r>
      <w:r w:rsidRPr="001A4EEE">
        <w:rPr>
          <w:rFonts w:eastAsia="Palatino Linotype" w:cs="Arial"/>
          <w:b/>
          <w:szCs w:val="20"/>
          <w:lang w:eastAsia="pl-PL"/>
        </w:rPr>
        <w:t xml:space="preserve">dni od daty zawarcia umowy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18</w:t>
      </w:r>
      <w:r w:rsidRPr="001A4EEE">
        <w:rPr>
          <w:rFonts w:eastAsia="Palatino Linotype" w:cs="Arial"/>
          <w:b/>
          <w:szCs w:val="20"/>
          <w:lang w:eastAsia="pl-PL"/>
        </w:rPr>
        <w:t>,00 pkt,</w:t>
      </w:r>
    </w:p>
    <w:p w14:paraId="3506830F" w14:textId="5991FA93" w:rsidR="001E1CE8" w:rsidRPr="001A4EEE" w:rsidRDefault="001E1CE8" w:rsidP="001E1CE8">
      <w:pPr>
        <w:ind w:left="1418" w:firstLine="0"/>
        <w:contextualSpacing/>
        <w:rPr>
          <w:rFonts w:eastAsia="Palatino Linotype" w:cs="Arial"/>
          <w:b/>
          <w:szCs w:val="20"/>
          <w:lang w:eastAsia="pl-PL"/>
        </w:rPr>
      </w:pPr>
      <w:r w:rsidRPr="003C6537">
        <w:rPr>
          <w:rFonts w:eastAsia="Palatino Linotype" w:cs="Arial"/>
          <w:szCs w:val="20"/>
          <w:lang w:eastAsia="pl-PL"/>
        </w:rPr>
        <w:t xml:space="preserve">-- termin </w:t>
      </w:r>
      <w:r w:rsidRPr="001A4EEE">
        <w:rPr>
          <w:rFonts w:eastAsia="Palatino Linotype" w:cs="Arial"/>
          <w:szCs w:val="20"/>
          <w:lang w:eastAsia="pl-PL"/>
        </w:rPr>
        <w:t>realizacji:</w:t>
      </w:r>
      <w:r w:rsidRPr="001A4EEE">
        <w:rPr>
          <w:rFonts w:eastAsia="Palatino Linotype" w:cs="Arial"/>
          <w:b/>
          <w:szCs w:val="20"/>
          <w:lang w:eastAsia="pl-PL"/>
        </w:rPr>
        <w:t xml:space="preserve"> </w:t>
      </w:r>
      <w:r w:rsidR="00D80B9C">
        <w:rPr>
          <w:rFonts w:eastAsia="Palatino Linotype" w:cs="Arial"/>
          <w:b/>
          <w:szCs w:val="20"/>
          <w:lang w:eastAsia="pl-PL"/>
        </w:rPr>
        <w:t>10</w:t>
      </w:r>
      <w:r w:rsidRPr="001A4EEE">
        <w:rPr>
          <w:rFonts w:eastAsia="Palatino Linotype" w:cs="Arial"/>
          <w:b/>
          <w:szCs w:val="20"/>
          <w:lang w:eastAsia="pl-PL"/>
        </w:rPr>
        <w:t xml:space="preserve"> dni od daty zawarcia umowy </w:t>
      </w:r>
      <w:r w:rsidR="00D80B9C">
        <w:rPr>
          <w:rFonts w:eastAsia="Palatino Linotype" w:cs="Arial"/>
          <w:b/>
          <w:szCs w:val="20"/>
          <w:lang w:eastAsia="pl-PL"/>
        </w:rPr>
        <w:t xml:space="preserve">(lub krótszy) </w:t>
      </w:r>
      <w:r w:rsidRPr="001A4EEE">
        <w:rPr>
          <w:rFonts w:eastAsia="Palatino Linotype" w:cs="Arial"/>
          <w:szCs w:val="20"/>
          <w:lang w:eastAsia="pl-PL"/>
        </w:rPr>
        <w:t xml:space="preserve">– </w:t>
      </w:r>
      <w:r>
        <w:rPr>
          <w:rFonts w:eastAsia="Palatino Linotype" w:cs="Arial"/>
          <w:b/>
          <w:szCs w:val="20"/>
          <w:lang w:eastAsia="pl-PL"/>
        </w:rPr>
        <w:t>20</w:t>
      </w:r>
      <w:r w:rsidRPr="001A4EEE">
        <w:rPr>
          <w:rFonts w:eastAsia="Palatino Linotype" w:cs="Arial"/>
          <w:b/>
          <w:szCs w:val="20"/>
          <w:lang w:eastAsia="pl-PL"/>
        </w:rPr>
        <w:t>,00 pkt,</w:t>
      </w:r>
    </w:p>
    <w:p w14:paraId="17D70441" w14:textId="68B35D87" w:rsidR="00FB1BF5" w:rsidRDefault="00FB1BF5" w:rsidP="00FB1BF5">
      <w:pPr>
        <w:tabs>
          <w:tab w:val="left" w:pos="851"/>
          <w:tab w:val="left" w:pos="6096"/>
        </w:tabs>
        <w:ind w:left="1418"/>
        <w:rPr>
          <w:rFonts w:cs="Arial"/>
          <w:szCs w:val="20"/>
          <w:lang w:eastAsia="pl-PL"/>
        </w:rPr>
      </w:pPr>
      <w:r w:rsidRPr="00591ED9">
        <w:rPr>
          <w:rFonts w:cs="Arial"/>
          <w:b/>
          <w:szCs w:val="20"/>
          <w:lang w:eastAsia="pl-PL"/>
        </w:rPr>
        <w:t>T pkt</w:t>
      </w:r>
      <w:r w:rsidRPr="00591ED9">
        <w:rPr>
          <w:rFonts w:cs="Arial"/>
          <w:szCs w:val="20"/>
          <w:lang w:eastAsia="pl-PL"/>
        </w:rPr>
        <w:t xml:space="preserve"> – liczba punktów za kryterium „termin </w:t>
      </w:r>
      <w:r>
        <w:rPr>
          <w:rFonts w:eastAsia="Calibri" w:cs="Arial"/>
          <w:szCs w:val="20"/>
          <w:lang w:eastAsia="pl-PL"/>
        </w:rPr>
        <w:t>realizacji zamówienia</w:t>
      </w:r>
      <w:r>
        <w:rPr>
          <w:rFonts w:cs="Arial"/>
          <w:szCs w:val="20"/>
          <w:lang w:eastAsia="pl-PL"/>
        </w:rPr>
        <w:t xml:space="preserve">” </w:t>
      </w:r>
    </w:p>
    <w:p w14:paraId="2ECAFD11" w14:textId="45BE4785" w:rsidR="00FB1BF5" w:rsidRPr="00F93C11" w:rsidRDefault="00FB1BF5" w:rsidP="00FB1BF5">
      <w:pPr>
        <w:rPr>
          <w:rFonts w:cs="Arial"/>
          <w:b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     </w:t>
      </w:r>
      <w:r w:rsidRPr="00F93C11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D80B9C">
        <w:rPr>
          <w:rFonts w:cs="Arial"/>
          <w:b/>
          <w:color w:val="000000" w:themeColor="text1"/>
          <w:szCs w:val="20"/>
          <w:lang w:eastAsia="pl-PL"/>
        </w:rPr>
        <w:t>2</w:t>
      </w:r>
      <w:r w:rsidRPr="00F93C11">
        <w:rPr>
          <w:rFonts w:cs="Arial"/>
          <w:b/>
          <w:color w:val="000000" w:themeColor="text1"/>
          <w:szCs w:val="20"/>
          <w:lang w:eastAsia="pl-PL"/>
        </w:rPr>
        <w:t>0 pkt.</w:t>
      </w:r>
    </w:p>
    <w:p w14:paraId="179D879B" w14:textId="37680819" w:rsidR="002E60BD" w:rsidRPr="002E60BD" w:rsidRDefault="002E60BD" w:rsidP="00315AF6">
      <w:pPr>
        <w:pStyle w:val="Akapitzlist"/>
        <w:numPr>
          <w:ilvl w:val="0"/>
          <w:numId w:val="56"/>
        </w:numPr>
        <w:spacing w:before="60" w:after="60"/>
        <w:ind w:left="1134"/>
        <w:outlineLvl w:val="3"/>
        <w:rPr>
          <w:rFonts w:eastAsia="Times New Roman" w:cs="Arial"/>
          <w:bCs/>
          <w:iCs/>
          <w:szCs w:val="20"/>
          <w:lang w:val="x-none" w:eastAsia="pl-PL"/>
        </w:rPr>
      </w:pPr>
      <w:r w:rsidRPr="002E60BD">
        <w:rPr>
          <w:rFonts w:eastAsia="Times New Roman" w:cs="Arial"/>
          <w:b/>
          <w:bCs/>
          <w:iCs/>
          <w:szCs w:val="20"/>
          <w:lang w:val="x-none" w:eastAsia="pl-PL"/>
        </w:rPr>
        <w:t xml:space="preserve">Zasady </w:t>
      </w:r>
      <w:r w:rsidRPr="002E60BD">
        <w:rPr>
          <w:rFonts w:eastAsia="Times New Roman" w:cs="Times New Roman"/>
          <w:bCs/>
          <w:iCs/>
          <w:color w:val="000000" w:themeColor="text1"/>
          <w:szCs w:val="20"/>
          <w:lang w:val="x-none" w:eastAsia="x-none"/>
        </w:rPr>
        <w:t>przyznawania</w:t>
      </w:r>
      <w:r w:rsidRPr="002E60BD">
        <w:rPr>
          <w:rFonts w:eastAsia="Times New Roman" w:cs="Arial"/>
          <w:b/>
          <w:bCs/>
          <w:iCs/>
          <w:szCs w:val="20"/>
          <w:lang w:val="x-none" w:eastAsia="pl-PL"/>
        </w:rPr>
        <w:t xml:space="preserve"> punktów w kryterium „</w:t>
      </w:r>
      <w:r w:rsidR="00F71AFB">
        <w:rPr>
          <w:rFonts w:eastAsia="Times New Roman" w:cs="Arial"/>
          <w:b/>
          <w:bCs/>
          <w:iCs/>
          <w:szCs w:val="20"/>
          <w:lang w:eastAsia="pl-PL"/>
        </w:rPr>
        <w:t>Okres</w:t>
      </w:r>
      <w:r>
        <w:rPr>
          <w:rFonts w:eastAsia="Times New Roman" w:cs="Arial"/>
          <w:b/>
          <w:bCs/>
          <w:iCs/>
          <w:szCs w:val="20"/>
          <w:lang w:eastAsia="pl-PL"/>
        </w:rPr>
        <w:t xml:space="preserve"> </w:t>
      </w:r>
      <w:r w:rsidRPr="002E60BD">
        <w:rPr>
          <w:rFonts w:eastAsia="Times New Roman" w:cs="Arial"/>
          <w:b/>
          <w:bCs/>
          <w:iCs/>
          <w:szCs w:val="20"/>
          <w:lang w:val="x-none" w:eastAsia="pl-PL"/>
        </w:rPr>
        <w:t>gwarancj</w:t>
      </w:r>
      <w:r>
        <w:rPr>
          <w:rFonts w:eastAsia="Times New Roman" w:cs="Arial"/>
          <w:b/>
          <w:bCs/>
          <w:iCs/>
          <w:szCs w:val="20"/>
          <w:lang w:eastAsia="pl-PL"/>
        </w:rPr>
        <w:t xml:space="preserve">i </w:t>
      </w:r>
      <w:r w:rsidRPr="002E60BD">
        <w:rPr>
          <w:rFonts w:eastAsia="Times New Roman" w:cs="Arial"/>
          <w:b/>
          <w:bCs/>
          <w:iCs/>
          <w:szCs w:val="20"/>
          <w:lang w:val="x-none" w:eastAsia="pl-PL"/>
        </w:rPr>
        <w:t>(G)”:</w:t>
      </w:r>
    </w:p>
    <w:p w14:paraId="116807FF" w14:textId="77777777" w:rsidR="002E60BD" w:rsidRPr="002E60BD" w:rsidRDefault="002E60BD" w:rsidP="00315AF6">
      <w:pPr>
        <w:numPr>
          <w:ilvl w:val="1"/>
          <w:numId w:val="5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bookmarkStart w:id="30" w:name="_Hlk143772111"/>
      <w:r w:rsidRPr="002E60BD">
        <w:rPr>
          <w:rFonts w:eastAsia="Arial Unicode MS" w:cs="Arial"/>
          <w:szCs w:val="20"/>
          <w:lang w:eastAsia="pl-PL"/>
        </w:rPr>
        <w:t>Okres gwarancji należy określić w pełnych miesiącach, wartość należy podać liczbowo i słownie. W przypadku rozbieżności w zakresie okresu gwarancji podanego liczbowo i słownie, Zamawiający za obowiązujący uzna okres gwarancji podany słownie.</w:t>
      </w:r>
    </w:p>
    <w:bookmarkEnd w:id="30"/>
    <w:p w14:paraId="5F078E70" w14:textId="10F0D5CA" w:rsidR="002E60BD" w:rsidRPr="002E60BD" w:rsidRDefault="002E60BD" w:rsidP="00315AF6">
      <w:pPr>
        <w:numPr>
          <w:ilvl w:val="1"/>
          <w:numId w:val="5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 w:rsidRPr="002E60BD">
        <w:rPr>
          <w:rFonts w:cs="Arial"/>
          <w:szCs w:val="20"/>
          <w:lang w:eastAsia="pl-PL"/>
        </w:rPr>
        <w:t>Jeżeli Wykonawca zaoferuje gwarancję dłuższą o co najmniej  12 m-</w:t>
      </w:r>
      <w:proofErr w:type="spellStart"/>
      <w:r w:rsidRPr="002E60BD">
        <w:rPr>
          <w:rFonts w:cs="Arial"/>
          <w:szCs w:val="20"/>
          <w:lang w:eastAsia="pl-PL"/>
        </w:rPr>
        <w:t>cy</w:t>
      </w:r>
      <w:proofErr w:type="spellEnd"/>
      <w:r w:rsidRPr="002E60BD">
        <w:rPr>
          <w:rFonts w:cs="Arial"/>
          <w:szCs w:val="20"/>
          <w:lang w:eastAsia="pl-PL"/>
        </w:rPr>
        <w:t xml:space="preserve"> od wymaganego minimalnego okresu gwarancji (</w:t>
      </w:r>
      <w:r w:rsidRPr="002E60BD">
        <w:t xml:space="preserve">określonego w rozdz. II ust. </w:t>
      </w:r>
      <w:r>
        <w:t>9</w:t>
      </w:r>
      <w:r w:rsidRPr="002E60BD">
        <w:t xml:space="preserve"> pkt 2 SWZ</w:t>
      </w:r>
      <w:r w:rsidRPr="002E60BD">
        <w:rPr>
          <w:rFonts w:cs="Arial"/>
          <w:szCs w:val="20"/>
          <w:lang w:eastAsia="pl-PL"/>
        </w:rPr>
        <w:t>) otrzyma punkty w wysokości:</w:t>
      </w:r>
    </w:p>
    <w:p w14:paraId="3FF03F7F" w14:textId="004FE7CB" w:rsidR="002E60BD" w:rsidRPr="002E60BD" w:rsidRDefault="002E60BD" w:rsidP="002E60BD">
      <w:pPr>
        <w:tabs>
          <w:tab w:val="left" w:pos="284"/>
          <w:tab w:val="left" w:pos="567"/>
        </w:tabs>
        <w:ind w:left="1843" w:hanging="425"/>
        <w:contextualSpacing/>
        <w:rPr>
          <w:rFonts w:cs="Arial"/>
          <w:szCs w:val="20"/>
          <w:lang w:eastAsia="pl-PL"/>
        </w:rPr>
      </w:pPr>
      <w:r w:rsidRPr="002E60BD">
        <w:rPr>
          <w:rFonts w:cs="Arial"/>
          <w:szCs w:val="20"/>
          <w:lang w:eastAsia="pl-PL"/>
        </w:rPr>
        <w:t xml:space="preserve"> -- za okres gwarancji </w:t>
      </w:r>
      <w:r w:rsidRPr="002E60BD">
        <w:rPr>
          <w:rFonts w:cs="Arial"/>
          <w:color w:val="000000"/>
          <w:szCs w:val="20"/>
          <w:lang w:eastAsia="pl-PL"/>
        </w:rPr>
        <w:t xml:space="preserve">dłuższy </w:t>
      </w:r>
      <w:r w:rsidRPr="002E60BD">
        <w:rPr>
          <w:rFonts w:cs="Arial"/>
          <w:b/>
          <w:color w:val="000000"/>
          <w:szCs w:val="20"/>
          <w:lang w:eastAsia="pl-PL"/>
        </w:rPr>
        <w:t>o 12 miesięcy</w:t>
      </w:r>
      <w:r w:rsidRPr="002E60BD">
        <w:rPr>
          <w:rFonts w:cs="Arial"/>
          <w:color w:val="000000"/>
          <w:szCs w:val="20"/>
          <w:lang w:eastAsia="pl-PL"/>
        </w:rPr>
        <w:t xml:space="preserve"> od wymaganego minimalnego okresu gwarancji (tj. </w:t>
      </w:r>
      <w:r>
        <w:rPr>
          <w:rFonts w:cs="Arial"/>
          <w:color w:val="000000"/>
          <w:szCs w:val="20"/>
          <w:lang w:eastAsia="pl-PL"/>
        </w:rPr>
        <w:t xml:space="preserve">12 </w:t>
      </w:r>
      <w:r w:rsidRPr="002E60BD">
        <w:rPr>
          <w:rFonts w:cs="Arial"/>
          <w:color w:val="000000"/>
          <w:szCs w:val="20"/>
          <w:lang w:eastAsia="pl-PL"/>
        </w:rPr>
        <w:t>+</w:t>
      </w:r>
      <w:r>
        <w:rPr>
          <w:rFonts w:cs="Arial"/>
          <w:color w:val="000000"/>
          <w:szCs w:val="20"/>
          <w:lang w:eastAsia="pl-PL"/>
        </w:rPr>
        <w:t xml:space="preserve"> </w:t>
      </w:r>
      <w:r w:rsidRPr="002E60BD">
        <w:rPr>
          <w:rFonts w:cs="Arial"/>
          <w:color w:val="000000"/>
          <w:szCs w:val="20"/>
          <w:lang w:eastAsia="pl-PL"/>
        </w:rPr>
        <w:t>12</w:t>
      </w:r>
      <w:r>
        <w:rPr>
          <w:rFonts w:cs="Arial"/>
          <w:color w:val="000000"/>
          <w:szCs w:val="20"/>
          <w:lang w:eastAsia="pl-PL"/>
        </w:rPr>
        <w:t xml:space="preserve"> </w:t>
      </w:r>
      <w:r w:rsidRPr="002E60BD">
        <w:rPr>
          <w:rFonts w:cs="Arial"/>
          <w:color w:val="000000"/>
          <w:szCs w:val="20"/>
          <w:lang w:eastAsia="pl-PL"/>
        </w:rPr>
        <w:t>=</w:t>
      </w:r>
      <w:r>
        <w:rPr>
          <w:rFonts w:cs="Arial"/>
          <w:color w:val="000000"/>
          <w:szCs w:val="20"/>
          <w:lang w:eastAsia="pl-PL"/>
        </w:rPr>
        <w:t xml:space="preserve"> </w:t>
      </w:r>
      <w:r>
        <w:rPr>
          <w:rFonts w:cs="Arial"/>
          <w:b/>
          <w:bCs/>
          <w:color w:val="000000"/>
          <w:szCs w:val="20"/>
          <w:lang w:eastAsia="pl-PL"/>
        </w:rPr>
        <w:t>24</w:t>
      </w:r>
      <w:r w:rsidRPr="002E60BD">
        <w:rPr>
          <w:rFonts w:cs="Arial"/>
          <w:b/>
          <w:bCs/>
          <w:color w:val="000000"/>
          <w:szCs w:val="20"/>
          <w:lang w:eastAsia="pl-PL"/>
        </w:rPr>
        <w:t xml:space="preserve"> miesi</w:t>
      </w:r>
      <w:r>
        <w:rPr>
          <w:rFonts w:cs="Arial"/>
          <w:b/>
          <w:bCs/>
          <w:color w:val="000000"/>
          <w:szCs w:val="20"/>
          <w:lang w:eastAsia="pl-PL"/>
        </w:rPr>
        <w:t>ące</w:t>
      </w:r>
      <w:r w:rsidRPr="002E60BD">
        <w:rPr>
          <w:rFonts w:cs="Arial"/>
          <w:color w:val="000000"/>
          <w:szCs w:val="20"/>
          <w:lang w:eastAsia="pl-PL"/>
        </w:rPr>
        <w:t xml:space="preserve">) </w:t>
      </w:r>
      <w:r w:rsidRPr="002E60BD">
        <w:rPr>
          <w:rFonts w:cs="Arial"/>
          <w:b/>
          <w:bCs/>
          <w:color w:val="000000"/>
          <w:szCs w:val="20"/>
          <w:lang w:eastAsia="pl-PL"/>
        </w:rPr>
        <w:t xml:space="preserve">otrzyma </w:t>
      </w:r>
      <w:r>
        <w:rPr>
          <w:rFonts w:cs="Arial"/>
          <w:b/>
          <w:bCs/>
          <w:color w:val="000000"/>
          <w:szCs w:val="20"/>
          <w:lang w:eastAsia="pl-PL"/>
        </w:rPr>
        <w:t>10</w:t>
      </w:r>
      <w:r w:rsidRPr="002E60BD">
        <w:rPr>
          <w:rFonts w:cs="Arial"/>
          <w:b/>
          <w:bCs/>
          <w:color w:val="000000"/>
          <w:szCs w:val="20"/>
          <w:lang w:eastAsia="pl-PL"/>
        </w:rPr>
        <w:t xml:space="preserve"> pkt,</w:t>
      </w:r>
    </w:p>
    <w:p w14:paraId="7EC0B8AF" w14:textId="3E655132" w:rsidR="002E60BD" w:rsidRPr="002E60BD" w:rsidRDefault="002E60BD" w:rsidP="002E60BD">
      <w:pPr>
        <w:tabs>
          <w:tab w:val="left" w:pos="284"/>
          <w:tab w:val="left" w:pos="567"/>
        </w:tabs>
        <w:ind w:left="1843" w:hanging="425"/>
        <w:contextualSpacing/>
        <w:rPr>
          <w:rFonts w:cs="Arial"/>
          <w:b/>
          <w:bCs/>
          <w:color w:val="000000"/>
          <w:szCs w:val="20"/>
          <w:lang w:eastAsia="pl-PL"/>
        </w:rPr>
      </w:pPr>
      <w:r w:rsidRPr="002E60BD">
        <w:rPr>
          <w:rFonts w:cs="Arial"/>
          <w:szCs w:val="20"/>
          <w:lang w:eastAsia="pl-PL"/>
        </w:rPr>
        <w:lastRenderedPageBreak/>
        <w:t xml:space="preserve"> -- za okres gwarancji </w:t>
      </w:r>
      <w:r w:rsidRPr="002E60BD">
        <w:rPr>
          <w:rFonts w:cs="Arial"/>
          <w:color w:val="000000"/>
          <w:szCs w:val="20"/>
          <w:lang w:eastAsia="pl-PL"/>
        </w:rPr>
        <w:t xml:space="preserve">dłuższy o </w:t>
      </w:r>
      <w:r w:rsidRPr="002E60BD">
        <w:rPr>
          <w:rFonts w:cs="Arial"/>
          <w:b/>
          <w:color w:val="000000"/>
          <w:szCs w:val="20"/>
          <w:lang w:eastAsia="pl-PL"/>
        </w:rPr>
        <w:t>24 miesiące</w:t>
      </w:r>
      <w:r w:rsidRPr="002E60BD">
        <w:rPr>
          <w:rFonts w:cs="Arial"/>
          <w:color w:val="000000"/>
          <w:szCs w:val="20"/>
          <w:lang w:eastAsia="pl-PL"/>
        </w:rPr>
        <w:t xml:space="preserve"> od wymaganego minimalnego okresu gwarancji (tj. </w:t>
      </w:r>
      <w:r>
        <w:rPr>
          <w:rFonts w:cs="Arial"/>
          <w:color w:val="000000"/>
          <w:szCs w:val="20"/>
          <w:lang w:eastAsia="pl-PL"/>
        </w:rPr>
        <w:t xml:space="preserve">12 </w:t>
      </w:r>
      <w:r w:rsidRPr="002E60BD">
        <w:rPr>
          <w:rFonts w:cs="Arial"/>
          <w:color w:val="000000"/>
          <w:szCs w:val="20"/>
          <w:lang w:eastAsia="pl-PL"/>
        </w:rPr>
        <w:t>+</w:t>
      </w:r>
      <w:r>
        <w:rPr>
          <w:rFonts w:cs="Arial"/>
          <w:color w:val="000000"/>
          <w:szCs w:val="20"/>
          <w:lang w:eastAsia="pl-PL"/>
        </w:rPr>
        <w:t xml:space="preserve"> </w:t>
      </w:r>
      <w:r w:rsidRPr="002E60BD">
        <w:rPr>
          <w:rFonts w:cs="Arial"/>
          <w:color w:val="000000"/>
          <w:szCs w:val="20"/>
          <w:lang w:eastAsia="pl-PL"/>
        </w:rPr>
        <w:t>24</w:t>
      </w:r>
      <w:r>
        <w:rPr>
          <w:rFonts w:cs="Arial"/>
          <w:color w:val="000000"/>
          <w:szCs w:val="20"/>
          <w:lang w:eastAsia="pl-PL"/>
        </w:rPr>
        <w:t xml:space="preserve"> </w:t>
      </w:r>
      <w:r w:rsidRPr="002E60BD">
        <w:rPr>
          <w:rFonts w:cs="Arial"/>
          <w:color w:val="000000"/>
          <w:szCs w:val="20"/>
          <w:lang w:eastAsia="pl-PL"/>
        </w:rPr>
        <w:t>=</w:t>
      </w:r>
      <w:r>
        <w:rPr>
          <w:rFonts w:cs="Arial"/>
          <w:color w:val="000000"/>
          <w:szCs w:val="20"/>
          <w:lang w:eastAsia="pl-PL"/>
        </w:rPr>
        <w:t xml:space="preserve"> </w:t>
      </w:r>
      <w:r>
        <w:rPr>
          <w:rFonts w:cs="Arial"/>
          <w:b/>
          <w:bCs/>
          <w:color w:val="000000"/>
          <w:szCs w:val="20"/>
          <w:lang w:eastAsia="pl-PL"/>
        </w:rPr>
        <w:t>36</w:t>
      </w:r>
      <w:r w:rsidRPr="002E60BD">
        <w:rPr>
          <w:rFonts w:cs="Arial"/>
          <w:b/>
          <w:bCs/>
          <w:color w:val="000000"/>
          <w:szCs w:val="20"/>
          <w:lang w:eastAsia="pl-PL"/>
        </w:rPr>
        <w:t xml:space="preserve"> miesięcy</w:t>
      </w:r>
      <w:r w:rsidRPr="002E60BD">
        <w:rPr>
          <w:rFonts w:cs="Arial"/>
          <w:color w:val="000000"/>
          <w:szCs w:val="20"/>
          <w:lang w:eastAsia="pl-PL"/>
        </w:rPr>
        <w:t>)</w:t>
      </w:r>
      <w:r>
        <w:rPr>
          <w:rFonts w:cs="Arial"/>
          <w:color w:val="000000"/>
          <w:szCs w:val="20"/>
          <w:lang w:eastAsia="pl-PL"/>
        </w:rPr>
        <w:t xml:space="preserve"> </w:t>
      </w:r>
      <w:r w:rsidR="00315AF6" w:rsidRPr="00315AF6">
        <w:rPr>
          <w:rFonts w:cs="Arial"/>
          <w:b/>
          <w:color w:val="000000"/>
          <w:szCs w:val="20"/>
          <w:lang w:eastAsia="pl-PL"/>
        </w:rPr>
        <w:t>lub więcej</w:t>
      </w:r>
      <w:r w:rsidRPr="002E60BD">
        <w:rPr>
          <w:rFonts w:cs="Arial"/>
          <w:color w:val="000000"/>
          <w:szCs w:val="20"/>
          <w:lang w:eastAsia="pl-PL"/>
        </w:rPr>
        <w:t xml:space="preserve"> </w:t>
      </w:r>
      <w:r w:rsidRPr="002E60BD">
        <w:rPr>
          <w:rFonts w:cs="Arial"/>
          <w:b/>
          <w:bCs/>
          <w:color w:val="000000"/>
          <w:szCs w:val="20"/>
          <w:lang w:eastAsia="pl-PL"/>
        </w:rPr>
        <w:t xml:space="preserve">otrzyma </w:t>
      </w:r>
      <w:r>
        <w:rPr>
          <w:rFonts w:cs="Arial"/>
          <w:b/>
          <w:bCs/>
          <w:color w:val="000000"/>
          <w:szCs w:val="20"/>
          <w:lang w:eastAsia="pl-PL"/>
        </w:rPr>
        <w:t>2</w:t>
      </w:r>
      <w:r w:rsidRPr="002E60BD">
        <w:rPr>
          <w:rFonts w:cs="Arial"/>
          <w:b/>
          <w:bCs/>
          <w:color w:val="000000"/>
          <w:szCs w:val="20"/>
          <w:lang w:eastAsia="pl-PL"/>
        </w:rPr>
        <w:t>0 pkt,</w:t>
      </w:r>
    </w:p>
    <w:p w14:paraId="6005F13E" w14:textId="208ABB89" w:rsidR="002E60BD" w:rsidRPr="002E60BD" w:rsidRDefault="00315AF6" w:rsidP="00315AF6">
      <w:pPr>
        <w:tabs>
          <w:tab w:val="left" w:pos="284"/>
          <w:tab w:val="left" w:pos="567"/>
        </w:tabs>
        <w:ind w:left="1418"/>
        <w:contextualSpacing/>
        <w:rPr>
          <w:rFonts w:cs="Arial"/>
          <w:color w:val="000000"/>
          <w:szCs w:val="20"/>
          <w:lang w:eastAsia="pl-PL"/>
        </w:rPr>
      </w:pPr>
      <w:r w:rsidRPr="00315AF6">
        <w:rPr>
          <w:rFonts w:cs="Arial"/>
          <w:color w:val="000000"/>
          <w:szCs w:val="20"/>
          <w:lang w:eastAsia="pl-PL"/>
        </w:rPr>
        <w:t xml:space="preserve">-  </w:t>
      </w:r>
      <w:r w:rsidR="002E60BD" w:rsidRPr="002E60BD">
        <w:rPr>
          <w:rFonts w:cs="Arial"/>
          <w:color w:val="000000"/>
          <w:szCs w:val="20"/>
          <w:lang w:eastAsia="pl-PL"/>
        </w:rPr>
        <w:t xml:space="preserve">minimalny wymagany okres gwarancji zgodnie z SWZ wynosi: </w:t>
      </w:r>
      <w:r w:rsidRPr="00315AF6">
        <w:rPr>
          <w:rFonts w:cs="Arial"/>
          <w:color w:val="000000"/>
          <w:szCs w:val="20"/>
          <w:lang w:eastAsia="pl-PL"/>
        </w:rPr>
        <w:t>12</w:t>
      </w:r>
      <w:r w:rsidR="002E60BD" w:rsidRPr="002E60BD">
        <w:rPr>
          <w:rFonts w:cs="Arial"/>
          <w:color w:val="000000"/>
          <w:szCs w:val="20"/>
          <w:lang w:eastAsia="pl-PL"/>
        </w:rPr>
        <w:t xml:space="preserve"> miesi</w:t>
      </w:r>
      <w:r w:rsidRPr="00315AF6">
        <w:rPr>
          <w:rFonts w:cs="Arial"/>
          <w:color w:val="000000"/>
          <w:szCs w:val="20"/>
          <w:lang w:eastAsia="pl-PL"/>
        </w:rPr>
        <w:t>ęcy</w:t>
      </w:r>
      <w:r w:rsidR="002E60BD" w:rsidRPr="002E60BD">
        <w:rPr>
          <w:rFonts w:cs="Arial"/>
          <w:color w:val="000000"/>
          <w:szCs w:val="20"/>
          <w:lang w:eastAsia="pl-PL"/>
        </w:rPr>
        <w:t>, jeżeli Wykonawca zaoferuje minimalny wymagany zgodnie z SWZ okres gwarancji – otrzyma 0 pkt w tym kryterium oceny ofert.</w:t>
      </w:r>
    </w:p>
    <w:p w14:paraId="5F04C2F8" w14:textId="77777777" w:rsidR="002E60BD" w:rsidRPr="002E60BD" w:rsidRDefault="002E60BD" w:rsidP="00315AF6">
      <w:pPr>
        <w:numPr>
          <w:ilvl w:val="1"/>
          <w:numId w:val="5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 w:rsidRPr="002E60BD">
        <w:rPr>
          <w:rFonts w:cs="Arial"/>
          <w:color w:val="000000"/>
          <w:szCs w:val="20"/>
          <w:lang w:eastAsia="pl-PL"/>
        </w:rPr>
        <w:t xml:space="preserve">W przypadku wskazania przez Wykonawcę okresu gwarancji w wymiarze innym niż pełny miesiąc (np. 25,5 m-ca), Zamawiający do celów punktacji ofert zaokrągli wskazany okres w dół do pełnego miesiąca i przyzna punkty odpowiednio. </w:t>
      </w:r>
    </w:p>
    <w:p w14:paraId="54B89011" w14:textId="0B02DEB8" w:rsidR="002E60BD" w:rsidRPr="002E60BD" w:rsidRDefault="002E60BD" w:rsidP="00315AF6">
      <w:pPr>
        <w:numPr>
          <w:ilvl w:val="1"/>
          <w:numId w:val="5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 w:rsidRPr="002E60BD">
        <w:rPr>
          <w:rFonts w:cs="Arial"/>
          <w:color w:val="000000"/>
          <w:szCs w:val="20"/>
          <w:lang w:eastAsia="pl-PL"/>
        </w:rPr>
        <w:t>W przypadku wskazania przez Wykonawcę okresu gwarancji w wymiarze innym niż wielokrotność 12 m-</w:t>
      </w:r>
      <w:proofErr w:type="spellStart"/>
      <w:r w:rsidRPr="002E60BD">
        <w:rPr>
          <w:rFonts w:cs="Arial"/>
          <w:color w:val="000000"/>
          <w:szCs w:val="20"/>
          <w:lang w:eastAsia="pl-PL"/>
        </w:rPr>
        <w:t>cy</w:t>
      </w:r>
      <w:proofErr w:type="spellEnd"/>
      <w:r w:rsidRPr="002E60BD">
        <w:rPr>
          <w:rFonts w:cs="Arial"/>
          <w:color w:val="000000"/>
          <w:szCs w:val="20"/>
          <w:lang w:eastAsia="pl-PL"/>
        </w:rPr>
        <w:t xml:space="preserve">, Zamawiający do celów punktacji ofert zaokrągli wskazany okres w dół odpowiednio do  </w:t>
      </w:r>
      <w:r w:rsidR="00315AF6">
        <w:rPr>
          <w:rFonts w:cs="Arial"/>
          <w:color w:val="000000"/>
          <w:szCs w:val="20"/>
          <w:lang w:eastAsia="pl-PL"/>
        </w:rPr>
        <w:t>12, 24</w:t>
      </w:r>
      <w:r w:rsidRPr="002E60BD">
        <w:rPr>
          <w:rFonts w:cs="Arial"/>
          <w:color w:val="000000"/>
          <w:szCs w:val="20"/>
          <w:lang w:eastAsia="pl-PL"/>
        </w:rPr>
        <w:t xml:space="preserve"> lub </w:t>
      </w:r>
      <w:r w:rsidR="00315AF6">
        <w:rPr>
          <w:rFonts w:cs="Arial"/>
          <w:color w:val="000000"/>
          <w:szCs w:val="20"/>
          <w:lang w:eastAsia="pl-PL"/>
        </w:rPr>
        <w:t>36</w:t>
      </w:r>
      <w:r w:rsidRPr="002E60BD">
        <w:rPr>
          <w:rFonts w:cs="Arial"/>
          <w:color w:val="000000"/>
          <w:szCs w:val="20"/>
          <w:lang w:eastAsia="pl-PL"/>
        </w:rPr>
        <w:t xml:space="preserve"> miesięcy. </w:t>
      </w:r>
    </w:p>
    <w:p w14:paraId="477BAC33" w14:textId="7921AD00" w:rsidR="002E60BD" w:rsidRPr="002E60BD" w:rsidRDefault="002E60BD" w:rsidP="00315AF6">
      <w:pPr>
        <w:numPr>
          <w:ilvl w:val="1"/>
          <w:numId w:val="5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 w:rsidRPr="002E60BD">
        <w:rPr>
          <w:rFonts w:cs="Arial"/>
          <w:color w:val="000000"/>
          <w:szCs w:val="20"/>
          <w:lang w:eastAsia="pl-PL"/>
        </w:rPr>
        <w:t xml:space="preserve">W przypadku wskazania okresu gwarancji dłuższego niż </w:t>
      </w:r>
      <w:r w:rsidR="00315AF6">
        <w:rPr>
          <w:rFonts w:cs="Arial"/>
          <w:color w:val="000000"/>
          <w:szCs w:val="20"/>
          <w:lang w:eastAsia="pl-PL"/>
        </w:rPr>
        <w:t>36</w:t>
      </w:r>
      <w:r w:rsidRPr="002E60BD">
        <w:rPr>
          <w:rFonts w:cs="Arial"/>
          <w:color w:val="000000"/>
          <w:szCs w:val="20"/>
          <w:lang w:eastAsia="pl-PL"/>
        </w:rPr>
        <w:t xml:space="preserve"> miesięcy, Zamawiający przyzna Wykonawcy maksymalną </w:t>
      </w:r>
      <w:r w:rsidR="00315AF6">
        <w:rPr>
          <w:rFonts w:cs="Arial"/>
          <w:color w:val="000000"/>
          <w:szCs w:val="20"/>
          <w:lang w:eastAsia="pl-PL"/>
        </w:rPr>
        <w:t>liczbę</w:t>
      </w:r>
      <w:r w:rsidRPr="002E60BD">
        <w:rPr>
          <w:rFonts w:cs="Arial"/>
          <w:color w:val="000000"/>
          <w:szCs w:val="20"/>
          <w:lang w:eastAsia="pl-PL"/>
        </w:rPr>
        <w:t xml:space="preserve"> punktów, tj. </w:t>
      </w:r>
      <w:r w:rsidR="00315AF6">
        <w:rPr>
          <w:rFonts w:cs="Arial"/>
          <w:color w:val="000000"/>
          <w:szCs w:val="20"/>
          <w:lang w:eastAsia="pl-PL"/>
        </w:rPr>
        <w:t>20</w:t>
      </w:r>
      <w:r w:rsidRPr="002E60BD">
        <w:rPr>
          <w:rFonts w:cs="Arial"/>
          <w:color w:val="000000"/>
          <w:szCs w:val="20"/>
          <w:lang w:eastAsia="pl-PL"/>
        </w:rPr>
        <w:t xml:space="preserve">. </w:t>
      </w:r>
    </w:p>
    <w:p w14:paraId="6E89FA10" w14:textId="65904D50" w:rsidR="002E60BD" w:rsidRPr="002E60BD" w:rsidRDefault="002E60BD" w:rsidP="00315AF6">
      <w:pPr>
        <w:numPr>
          <w:ilvl w:val="1"/>
          <w:numId w:val="5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 w:rsidRPr="002E60BD">
        <w:rPr>
          <w:rFonts w:cs="Arial"/>
          <w:szCs w:val="20"/>
          <w:lang w:eastAsia="pl-PL"/>
        </w:rPr>
        <w:t xml:space="preserve">jeżeli zaoferowany w ofercie okres gwarancji będzie krótszy od wymaganego w SWZ w rozdz. II ust. </w:t>
      </w:r>
      <w:r w:rsidR="00315AF6">
        <w:rPr>
          <w:rFonts w:cs="Arial"/>
          <w:szCs w:val="20"/>
          <w:lang w:eastAsia="pl-PL"/>
        </w:rPr>
        <w:t>9</w:t>
      </w:r>
      <w:r w:rsidRPr="002E60BD">
        <w:rPr>
          <w:rFonts w:cs="Arial"/>
          <w:szCs w:val="20"/>
          <w:lang w:eastAsia="pl-PL"/>
        </w:rPr>
        <w:t xml:space="preserve"> pkt 2) minimalnego okresu gwarancji, </w:t>
      </w:r>
      <w:r w:rsidRPr="002E60BD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2E60BD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2E60BD">
        <w:rPr>
          <w:rFonts w:eastAsia="Palatino Linotype" w:cs="Arial"/>
          <w:color w:val="000000"/>
          <w:szCs w:val="20"/>
          <w:lang w:eastAsia="pl-PL"/>
        </w:rPr>
        <w:t>;</w:t>
      </w:r>
    </w:p>
    <w:p w14:paraId="3E4B3A57" w14:textId="12C08A12" w:rsidR="002E60BD" w:rsidRPr="00315AF6" w:rsidRDefault="002E60BD" w:rsidP="00315AF6">
      <w:pPr>
        <w:numPr>
          <w:ilvl w:val="1"/>
          <w:numId w:val="5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szCs w:val="20"/>
          <w:lang w:eastAsia="pl-PL"/>
        </w:rPr>
      </w:pPr>
      <w:r w:rsidRPr="002E60BD">
        <w:rPr>
          <w:rFonts w:cs="Arial"/>
          <w:color w:val="000000"/>
          <w:szCs w:val="20"/>
          <w:lang w:eastAsia="pl-PL"/>
        </w:rPr>
        <w:t xml:space="preserve">niezłożenie oświadczenia o okresie gwarancji – </w:t>
      </w:r>
      <w:r w:rsidRPr="002E60BD">
        <w:rPr>
          <w:rFonts w:eastAsia="Palatino Linotype" w:cs="Arial"/>
          <w:color w:val="000000"/>
          <w:szCs w:val="20"/>
          <w:lang w:eastAsia="pl-PL"/>
        </w:rPr>
        <w:t xml:space="preserve">oferta zostanie odrzucona jako niezgodna z warunkami zamówienia na podstawie art. 226 ust. 1 pkt 5 ustawy </w:t>
      </w:r>
      <w:proofErr w:type="spellStart"/>
      <w:r w:rsidRPr="002E60BD">
        <w:rPr>
          <w:rFonts w:eastAsia="Palatino Linotype" w:cs="Arial"/>
          <w:color w:val="000000"/>
          <w:szCs w:val="20"/>
          <w:lang w:eastAsia="pl-PL"/>
        </w:rPr>
        <w:t>Pzp</w:t>
      </w:r>
      <w:proofErr w:type="spellEnd"/>
      <w:r w:rsidRPr="002E60BD">
        <w:rPr>
          <w:rFonts w:cs="Arial"/>
          <w:color w:val="000000"/>
          <w:szCs w:val="20"/>
          <w:lang w:eastAsia="pl-PL"/>
        </w:rPr>
        <w:t>.</w:t>
      </w:r>
    </w:p>
    <w:p w14:paraId="0EA9A9B0" w14:textId="1D5C4DCA" w:rsidR="00315AF6" w:rsidRPr="00315AF6" w:rsidRDefault="00315AF6" w:rsidP="00315AF6">
      <w:pPr>
        <w:pStyle w:val="Akapitzlist"/>
        <w:tabs>
          <w:tab w:val="left" w:pos="851"/>
          <w:tab w:val="left" w:pos="6096"/>
        </w:tabs>
        <w:ind w:firstLine="0"/>
        <w:rPr>
          <w:rFonts w:cs="Arial"/>
          <w:szCs w:val="20"/>
          <w:lang w:eastAsia="pl-PL"/>
        </w:rPr>
      </w:pPr>
      <w:r>
        <w:rPr>
          <w:rFonts w:cs="Arial"/>
          <w:b/>
          <w:szCs w:val="20"/>
          <w:lang w:eastAsia="pl-PL"/>
        </w:rPr>
        <w:t>G</w:t>
      </w:r>
      <w:r w:rsidRPr="00315AF6">
        <w:rPr>
          <w:rFonts w:cs="Arial"/>
          <w:b/>
          <w:szCs w:val="20"/>
          <w:lang w:eastAsia="pl-PL"/>
        </w:rPr>
        <w:t xml:space="preserve"> pkt</w:t>
      </w:r>
      <w:r w:rsidRPr="00315AF6">
        <w:rPr>
          <w:rFonts w:cs="Arial"/>
          <w:szCs w:val="20"/>
          <w:lang w:eastAsia="pl-PL"/>
        </w:rPr>
        <w:t xml:space="preserve"> – liczba punktów za kryterium „</w:t>
      </w:r>
      <w:r w:rsidR="00780BB9">
        <w:rPr>
          <w:rFonts w:cs="Arial"/>
          <w:szCs w:val="20"/>
          <w:lang w:eastAsia="pl-PL"/>
        </w:rPr>
        <w:t>okres</w:t>
      </w:r>
      <w:r w:rsidRPr="00315AF6">
        <w:rPr>
          <w:rFonts w:cs="Arial"/>
          <w:szCs w:val="20"/>
          <w:lang w:eastAsia="pl-PL"/>
        </w:rPr>
        <w:t xml:space="preserve"> </w:t>
      </w:r>
      <w:r>
        <w:rPr>
          <w:rFonts w:eastAsia="Calibri" w:cs="Arial"/>
          <w:szCs w:val="20"/>
          <w:lang w:eastAsia="pl-PL"/>
        </w:rPr>
        <w:t>gwarancji</w:t>
      </w:r>
      <w:r w:rsidRPr="00315AF6">
        <w:rPr>
          <w:rFonts w:cs="Arial"/>
          <w:szCs w:val="20"/>
          <w:lang w:eastAsia="pl-PL"/>
        </w:rPr>
        <w:t xml:space="preserve">” </w:t>
      </w:r>
    </w:p>
    <w:p w14:paraId="6709DF43" w14:textId="5F97D576" w:rsidR="002E60BD" w:rsidRPr="002E60BD" w:rsidRDefault="002E60BD" w:rsidP="00315AF6">
      <w:pPr>
        <w:tabs>
          <w:tab w:val="left" w:pos="851"/>
          <w:tab w:val="left" w:pos="6096"/>
        </w:tabs>
        <w:ind w:hanging="567"/>
        <w:rPr>
          <w:rFonts w:cs="Arial"/>
          <w:b/>
          <w:szCs w:val="20"/>
          <w:lang w:eastAsia="pl-PL"/>
        </w:rPr>
      </w:pPr>
      <w:r w:rsidRPr="002E60BD">
        <w:rPr>
          <w:rFonts w:cs="Arial"/>
          <w:szCs w:val="20"/>
          <w:lang w:eastAsia="pl-PL"/>
        </w:rPr>
        <w:t xml:space="preserve">Zamawiający w ramach tego kryterium przyzna łącznie maksymalnie: </w:t>
      </w:r>
      <w:r w:rsidR="00315AF6">
        <w:rPr>
          <w:rFonts w:cs="Arial"/>
          <w:b/>
          <w:szCs w:val="20"/>
          <w:lang w:eastAsia="pl-PL"/>
        </w:rPr>
        <w:t>20</w:t>
      </w:r>
      <w:r w:rsidRPr="002E60BD">
        <w:rPr>
          <w:rFonts w:cs="Arial"/>
          <w:b/>
          <w:szCs w:val="20"/>
          <w:lang w:eastAsia="pl-PL"/>
        </w:rPr>
        <w:t xml:space="preserve"> pkt </w:t>
      </w:r>
    </w:p>
    <w:p w14:paraId="0B86EAA3" w14:textId="073DCD43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O</w:t>
      </w:r>
      <w:r w:rsidR="00F85C46" w:rsidRPr="005B5BDF">
        <w:t>cena końcowa wyliczona zostanie po zsumowaniu punktów uzyskanych za ocenę kryterium: cena brutto + term</w:t>
      </w:r>
      <w:r w:rsidRPr="005B5BDF">
        <w:t>in realizacji</w:t>
      </w:r>
      <w:r w:rsidR="002516A1">
        <w:t xml:space="preserve"> zamówienia</w:t>
      </w:r>
      <w:r w:rsidR="00D80B9C">
        <w:t xml:space="preserve"> + termin gwarancji</w:t>
      </w:r>
      <w:r w:rsidRPr="005B5BDF">
        <w:t>;</w:t>
      </w:r>
    </w:p>
    <w:p w14:paraId="5875D8D8" w14:textId="77777777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188AB63D" w14:textId="6ECFC586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315AF6">
      <w:pPr>
        <w:pStyle w:val="Akapitzlist"/>
        <w:numPr>
          <w:ilvl w:val="0"/>
          <w:numId w:val="43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3AFC6D79" w:rsidR="003636A2" w:rsidRPr="005B5BDF" w:rsidRDefault="003636A2" w:rsidP="00315AF6">
      <w:pPr>
        <w:pStyle w:val="Nagwek3"/>
        <w:numPr>
          <w:ilvl w:val="0"/>
          <w:numId w:val="32"/>
        </w:numPr>
        <w:ind w:left="567" w:hanging="284"/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24729CFE" w:rsidR="003636A2" w:rsidRPr="005B5BDF" w:rsidRDefault="003636A2" w:rsidP="00315AF6">
      <w:pPr>
        <w:pStyle w:val="Nagwek4"/>
        <w:numPr>
          <w:ilvl w:val="1"/>
          <w:numId w:val="32"/>
        </w:numPr>
        <w:spacing w:before="0" w:after="0"/>
        <w:ind w:left="993"/>
        <w:contextualSpacing w:val="0"/>
      </w:pPr>
      <w:r w:rsidRPr="005B5BDF">
        <w:lastRenderedPageBreak/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315AF6">
      <w:pPr>
        <w:pStyle w:val="Nagwek4"/>
        <w:numPr>
          <w:ilvl w:val="1"/>
          <w:numId w:val="32"/>
        </w:numPr>
        <w:spacing w:before="0" w:after="0"/>
        <w:ind w:left="993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315AF6">
      <w:pPr>
        <w:pStyle w:val="Nagwek3"/>
        <w:numPr>
          <w:ilvl w:val="0"/>
          <w:numId w:val="32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636F3B">
      <w:pPr>
        <w:pStyle w:val="Nagwek1"/>
      </w:pPr>
      <w:bookmarkStart w:id="31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1"/>
      <w:r w:rsidRPr="005B5BDF">
        <w:t xml:space="preserve"> </w:t>
      </w:r>
    </w:p>
    <w:p w14:paraId="49DDEBE7" w14:textId="6A1AE650" w:rsidR="009E363B" w:rsidRDefault="009E363B" w:rsidP="009E363B">
      <w:pPr>
        <w:pStyle w:val="Tekstpodstawowy"/>
        <w:rPr>
          <w:lang w:val="pl-PL" w:eastAsia="x-none"/>
        </w:rPr>
      </w:pPr>
    </w:p>
    <w:p w14:paraId="46297F5C" w14:textId="77777777" w:rsidR="001A3180" w:rsidRPr="001A3180" w:rsidRDefault="001A3180" w:rsidP="001A3180">
      <w:pPr>
        <w:pStyle w:val="Tekstpodstawowy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37BF558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 xml:space="preserve">Zgodni z art. 432 ustawy </w:t>
      </w:r>
      <w:proofErr w:type="spellStart"/>
      <w:r w:rsidRPr="005B5BDF">
        <w:t>Pzp</w:t>
      </w:r>
      <w:proofErr w:type="spellEnd"/>
      <w:r w:rsidRPr="005B5BDF">
        <w:t>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77777777" w:rsidR="009E363B" w:rsidRP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2" w:name="_Toc96068018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2"/>
    </w:p>
    <w:p w14:paraId="78D2F2E9" w14:textId="694A153C" w:rsidR="00762B2C" w:rsidRPr="00762B2C" w:rsidRDefault="000D7D8E" w:rsidP="00315AF6">
      <w:pPr>
        <w:pStyle w:val="Nagwek2"/>
        <w:numPr>
          <w:ilvl w:val="0"/>
          <w:numId w:val="45"/>
        </w:numPr>
        <w:spacing w:before="240"/>
        <w:ind w:left="142" w:hanging="142"/>
      </w:pPr>
      <w:r>
        <w:lastRenderedPageBreak/>
        <w:t xml:space="preserve"> </w:t>
      </w:r>
      <w:r w:rsidR="00762B2C" w:rsidRPr="00762B2C">
        <w:t>Środki ochrony prawnej.</w:t>
      </w:r>
    </w:p>
    <w:p w14:paraId="4FBDD2C0" w14:textId="77777777" w:rsidR="00762B2C" w:rsidRPr="00762B2C" w:rsidRDefault="00762B2C" w:rsidP="00315AF6">
      <w:pPr>
        <w:numPr>
          <w:ilvl w:val="0"/>
          <w:numId w:val="46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Wykonawcom oraz innym podmiotom, które mają lub miały interes w uzyskaniu zamówienia oraz poniosły lub mogą ponieść szkodę w wyniku naruszenia przez Zamawiającego przepisów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przysługują środki ochrony prawnej określone w Dziale IX ww. ustawy (art. 505 – 590).</w:t>
      </w:r>
    </w:p>
    <w:p w14:paraId="404ADE33" w14:textId="106CF962" w:rsidR="00762B2C" w:rsidRPr="00762B2C" w:rsidRDefault="00762B2C" w:rsidP="00315AF6">
      <w:pPr>
        <w:pStyle w:val="Akapitzlist"/>
        <w:numPr>
          <w:ilvl w:val="0"/>
          <w:numId w:val="46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315AF6">
      <w:pPr>
        <w:pStyle w:val="Nagwek2"/>
        <w:numPr>
          <w:ilvl w:val="0"/>
          <w:numId w:val="45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</w:t>
      </w:r>
      <w:proofErr w:type="spellStart"/>
      <w:r>
        <w:rPr>
          <w:lang w:eastAsia="x-none"/>
        </w:rPr>
        <w:t>Pzp</w:t>
      </w:r>
      <w:proofErr w:type="spellEnd"/>
      <w:r>
        <w:rPr>
          <w:lang w:eastAsia="x-none"/>
        </w:rPr>
        <w:t xml:space="preserve">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315AF6">
      <w:pPr>
        <w:pStyle w:val="Nagwek2"/>
        <w:numPr>
          <w:ilvl w:val="0"/>
          <w:numId w:val="45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315AF6">
      <w:pPr>
        <w:numPr>
          <w:ilvl w:val="0"/>
          <w:numId w:val="47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Na orzeczenie KIO oraz postanowienie Prezesa KIO,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 w:rsidRPr="00762B2C">
        <w:rPr>
          <w:rFonts w:eastAsia="Times New Roman" w:cs="Times New Roman"/>
          <w:bCs/>
          <w:szCs w:val="26"/>
          <w:lang w:eastAsia="x-none"/>
        </w:rPr>
        <w:t>, stronom oraz uczestnikom postępowania odwoławczego przysługuje skarga do sądu;</w:t>
      </w:r>
    </w:p>
    <w:p w14:paraId="78DC86CE" w14:textId="5D28A045" w:rsidR="00FE62B7" w:rsidRPr="004033EC" w:rsidRDefault="00762B2C" w:rsidP="00315AF6">
      <w:pPr>
        <w:pStyle w:val="Akapitzlist"/>
        <w:numPr>
          <w:ilvl w:val="0"/>
          <w:numId w:val="47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 xml:space="preserve">Skargę wnosi się do Sądu Okręgowego w Warszawie – sądu zamówień publicznych, za pośrednictwem Prezesa KIO, w terminie 14 dni od dnia doręczenia orzeczenia Izby lub postanowienia Prezesa Izby, o którym mowa w art. 519 ust. 1 ustawy </w:t>
      </w:r>
      <w:proofErr w:type="spellStart"/>
      <w:r w:rsidRPr="00762B2C">
        <w:rPr>
          <w:rFonts w:eastAsia="Times New Roman" w:cs="Times New Roman"/>
          <w:bCs/>
          <w:szCs w:val="26"/>
          <w:lang w:eastAsia="x-none"/>
        </w:rPr>
        <w:t>Pzp</w:t>
      </w:r>
      <w:proofErr w:type="spellEnd"/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77777777" w:rsidR="00762B2C" w:rsidRPr="00762B2C" w:rsidRDefault="00762B2C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3" w:name="_Toc96068019"/>
      <w:r w:rsidRPr="005B5BDF">
        <w:t>Informacje dodatkowe.</w:t>
      </w:r>
      <w:bookmarkEnd w:id="33"/>
    </w:p>
    <w:p w14:paraId="5B19376B" w14:textId="59623ABD" w:rsidR="00F85C46" w:rsidRPr="005B5BDF" w:rsidRDefault="00FE10A7" w:rsidP="00315AF6">
      <w:pPr>
        <w:pStyle w:val="Nagwek2"/>
        <w:numPr>
          <w:ilvl w:val="0"/>
          <w:numId w:val="33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lastRenderedPageBreak/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77777777" w:rsidR="009E363B" w:rsidRDefault="00F85C46" w:rsidP="00315AF6">
      <w:pPr>
        <w:pStyle w:val="Nagwek3"/>
        <w:numPr>
          <w:ilvl w:val="0"/>
          <w:numId w:val="38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 xml:space="preserve">ykonawcą dokonywane będą w polskich złotych. </w:t>
      </w:r>
    </w:p>
    <w:p w14:paraId="17EC4BEA" w14:textId="5A657DA0" w:rsidR="00F85C46" w:rsidRPr="005B5BDF" w:rsidRDefault="00F85C46" w:rsidP="00315AF6">
      <w:pPr>
        <w:pStyle w:val="Nagwek3"/>
        <w:numPr>
          <w:ilvl w:val="0"/>
          <w:numId w:val="38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315AF6">
      <w:pPr>
        <w:pStyle w:val="Nagwek2"/>
        <w:numPr>
          <w:ilvl w:val="0"/>
          <w:numId w:val="51"/>
        </w:numPr>
        <w:spacing w:before="0" w:after="0" w:line="360" w:lineRule="auto"/>
        <w:ind w:left="284" w:hanging="284"/>
      </w:pPr>
      <w:r w:rsidRPr="005B5BDF">
        <w:t>Ochrona danych osobowych.</w:t>
      </w:r>
    </w:p>
    <w:p w14:paraId="39DDDF9C" w14:textId="2A10ABBC" w:rsidR="00F85C46" w:rsidRPr="005B5BDF" w:rsidRDefault="00F85C46" w:rsidP="00315AF6">
      <w:pPr>
        <w:pStyle w:val="Nagwek3"/>
        <w:numPr>
          <w:ilvl w:val="0"/>
          <w:numId w:val="34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315AF6">
      <w:pPr>
        <w:pStyle w:val="Nagwek4"/>
        <w:numPr>
          <w:ilvl w:val="1"/>
          <w:numId w:val="34"/>
        </w:numPr>
        <w:spacing w:before="0" w:after="0"/>
        <w:ind w:left="851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315AF6">
      <w:pPr>
        <w:pStyle w:val="Nagwek4"/>
        <w:numPr>
          <w:ilvl w:val="1"/>
          <w:numId w:val="34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5FD3EDEB" w:rsidR="00F85C46" w:rsidRPr="005B5BDF" w:rsidRDefault="00F85C46" w:rsidP="00315AF6">
      <w:pPr>
        <w:pStyle w:val="Nagwek4"/>
        <w:numPr>
          <w:ilvl w:val="0"/>
          <w:numId w:val="46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315AF6">
        <w:rPr>
          <w:b/>
          <w:lang w:val="pl-PL"/>
        </w:rPr>
        <w:t>58</w:t>
      </w:r>
      <w:r w:rsidR="00BA329E">
        <w:rPr>
          <w:b/>
          <w:lang w:val="pl-PL"/>
        </w:rPr>
        <w:t>.2023</w:t>
      </w:r>
      <w:r w:rsidRPr="005B5BDF">
        <w:t xml:space="preserve"> o nazwie </w:t>
      </w:r>
      <w:r w:rsidR="00AE4CD2" w:rsidRPr="005B5BDF">
        <w:rPr>
          <w:lang w:val="pl-PL"/>
        </w:rPr>
        <w:t>„</w:t>
      </w:r>
      <w:r w:rsidRPr="005B5BDF">
        <w:rPr>
          <w:b/>
        </w:rPr>
        <w:t>Dostawa</w:t>
      </w:r>
      <w:r w:rsidR="001B52C6">
        <w:rPr>
          <w:b/>
          <w:lang w:val="pl-PL"/>
        </w:rPr>
        <w:t xml:space="preserve"> </w:t>
      </w:r>
      <w:proofErr w:type="spellStart"/>
      <w:r w:rsidR="00315AF6">
        <w:rPr>
          <w:b/>
          <w:lang w:val="pl-PL"/>
        </w:rPr>
        <w:t>wizualizerów</w:t>
      </w:r>
      <w:proofErr w:type="spellEnd"/>
      <w:r w:rsidR="00315AF6">
        <w:rPr>
          <w:b/>
          <w:lang w:val="pl-PL"/>
        </w:rPr>
        <w:t xml:space="preserve"> – 4 szt.</w:t>
      </w:r>
      <w:r w:rsidR="00AE4CD2" w:rsidRPr="005B5BDF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t xml:space="preserve">Obowiązek podania przez Panią/Pana danych osobowych bezpośrednio Pani/Pana dotyczących jest wymogiem ustawowym określonym w przepisach ustawy </w:t>
      </w:r>
      <w:proofErr w:type="spellStart"/>
      <w:r w:rsidRPr="005B5BDF">
        <w:t>Pzp</w:t>
      </w:r>
      <w:proofErr w:type="spellEnd"/>
      <w:r w:rsidRPr="005B5BDF">
        <w:t>, związanym z udziałem w</w:t>
      </w:r>
      <w:r w:rsidR="00BA4B90" w:rsidRPr="005B5BDF">
        <w:t> </w:t>
      </w:r>
      <w:r w:rsidRPr="005B5BDF">
        <w:t xml:space="preserve">postępowaniu o udzielenie zamówienia publicznego; konsekwencje niepodania określonych danych wynikają z ustawy </w:t>
      </w:r>
      <w:proofErr w:type="spellStart"/>
      <w:r w:rsidRPr="005B5BDF">
        <w:t>Pzp</w:t>
      </w:r>
      <w:proofErr w:type="spellEnd"/>
      <w:r w:rsidRPr="005B5BDF">
        <w:t>. W odniesieniu do Pani/Pana danych osobowych decyzje nie będą podejmowane w sposób zautomatyzowany, stosowanie do art. 22 RODO;</w:t>
      </w:r>
    </w:p>
    <w:p w14:paraId="1D0C3B36" w14:textId="0FEF0439" w:rsidR="00F85C46" w:rsidRPr="005B5BDF" w:rsidRDefault="00F85C46" w:rsidP="00315AF6">
      <w:pPr>
        <w:pStyle w:val="Nagwek4"/>
        <w:numPr>
          <w:ilvl w:val="0"/>
          <w:numId w:val="46"/>
        </w:numPr>
        <w:ind w:left="851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315AF6">
        <w:rPr>
          <w:lang w:val="pl-PL"/>
        </w:rPr>
        <w:t>3</w:t>
      </w:r>
      <w:r w:rsidR="00EC05FC" w:rsidRPr="00EC05FC">
        <w:rPr>
          <w:lang w:val="pl-PL"/>
        </w:rPr>
        <w:t xml:space="preserve"> poz. </w:t>
      </w:r>
      <w:r w:rsidR="00315AF6">
        <w:rPr>
          <w:lang w:val="pl-PL"/>
        </w:rPr>
        <w:t>1605</w:t>
      </w:r>
      <w:r w:rsidR="00EC05FC" w:rsidRPr="00EC05FC">
        <w:rPr>
          <w:lang w:val="pl-PL"/>
        </w:rPr>
        <w:t xml:space="preserve"> z </w:t>
      </w:r>
      <w:proofErr w:type="spellStart"/>
      <w:r w:rsidR="00EC05FC" w:rsidRPr="00EC05FC">
        <w:rPr>
          <w:lang w:val="pl-PL"/>
        </w:rPr>
        <w:t>późn</w:t>
      </w:r>
      <w:proofErr w:type="spellEnd"/>
      <w:r w:rsidR="00EC05FC" w:rsidRPr="00EC05FC">
        <w:rPr>
          <w:lang w:val="pl-PL"/>
        </w:rPr>
        <w:t xml:space="preserve">. </w:t>
      </w:r>
      <w:proofErr w:type="spellStart"/>
      <w:r w:rsidR="00EC05FC" w:rsidRPr="00EC05FC">
        <w:rPr>
          <w:lang w:val="pl-PL"/>
        </w:rPr>
        <w:t>zm</w:t>
      </w:r>
      <w:proofErr w:type="spellEnd"/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2020 r. poz. 2176)</w:t>
      </w:r>
      <w:r w:rsidR="003144B0" w:rsidRPr="00FB1BF5">
        <w:t>. Udostępnianie danych ma zast</w:t>
      </w:r>
      <w:r w:rsidR="003144B0" w:rsidRPr="005B5BDF">
        <w:t xml:space="preserve">osowanie do wszystkich </w:t>
      </w:r>
      <w:r w:rsidR="003144B0" w:rsidRPr="005B5BDF">
        <w:lastRenderedPageBreak/>
        <w:t>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315AF6">
      <w:pPr>
        <w:pStyle w:val="Nagwek4"/>
        <w:numPr>
          <w:ilvl w:val="0"/>
          <w:numId w:val="46"/>
        </w:numPr>
        <w:spacing w:before="0" w:after="0"/>
        <w:ind w:left="851" w:hanging="284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315AF6">
      <w:pPr>
        <w:pStyle w:val="Nagwek4"/>
        <w:numPr>
          <w:ilvl w:val="0"/>
          <w:numId w:val="46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315AF6">
      <w:pPr>
        <w:pStyle w:val="Nagwek3"/>
        <w:numPr>
          <w:ilvl w:val="0"/>
          <w:numId w:val="34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3A2C2E6D" w:rsidR="00F85C46" w:rsidRPr="0061008C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3F4892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44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EE70FA" w:rsidRDefault="00EE70F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EE70FA" w:rsidRDefault="00EE70F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48B49F99" w:rsidR="00EE70FA" w:rsidRDefault="00EE70FA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FCEA258" w14:textId="653ED793" w:rsidR="00EE70FA" w:rsidRDefault="00EE70FA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15A6E622" w:rsidR="00EE70FA" w:rsidRPr="00602A59" w:rsidRDefault="00EE70FA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ED77075" wp14:editId="6A0204A1">
              <wp:simplePos x="0" y="0"/>
              <wp:positionH relativeFrom="rightMargin">
                <wp:posOffset>5080</wp:posOffset>
              </wp:positionH>
              <wp:positionV relativeFrom="margin">
                <wp:posOffset>9315450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EE70FA" w:rsidRPr="00FD62F5" w:rsidRDefault="00EE70FA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.4pt;margin-top:733.5pt;width:64.5pt;height:34.15pt;z-index:251673600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" o:allowincell="f" stroked="f">
              <v:textbox style="mso-fit-shape-to-text:t" inset="0,,0">
                <w:txbxContent>
                  <w:p w14:paraId="6E3F838F" w14:textId="77777777" w:rsidR="00EE70FA" w:rsidRPr="00FD62F5" w:rsidRDefault="00EE70FA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14736680" w14:textId="77777777" w:rsidR="00EE70FA" w:rsidRPr="006B318B" w:rsidRDefault="00EE70FA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77F98" w14:textId="697E53C3" w:rsidR="00EE70FA" w:rsidRDefault="00EE70FA" w:rsidP="009E0ED6">
    <w:pPr>
      <w:pStyle w:val="Stopka"/>
      <w:jc w:val="center"/>
    </w:pPr>
  </w:p>
  <w:p w14:paraId="104FAC40" w14:textId="4E95C370" w:rsidR="00EE70FA" w:rsidRPr="009E0ED6" w:rsidRDefault="00B15EC6" w:rsidP="009E0ED6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  <w:sz w:val="2"/>
        <w:szCs w:val="2"/>
      </w:rPr>
    </w:pPr>
    <w:r>
      <w:rPr>
        <w:rFonts w:ascii="Calibri" w:eastAsia="Calibri" w:hAnsi="Calibri" w:cs="Times New Roman"/>
        <w:i/>
        <w:sz w:val="22"/>
      </w:rPr>
      <w:pict w14:anchorId="24A5CF1B">
        <v:rect id="_x0000_i1026" style="width:453.5pt;height:1pt" o:hralign="center" o:hrstd="t" o:hr="t" fillcolor="#aca899" stroked="f"/>
      </w:pict>
    </w:r>
    <w:r w:rsidR="00EE70FA" w:rsidRPr="009E0ED6">
      <w:rPr>
        <w:rFonts w:ascii="Calibri" w:eastAsia="Calibri" w:hAnsi="Calibri" w:cs="Times New Roman"/>
        <w:szCs w:val="20"/>
      </w:rPr>
      <w:t xml:space="preserve"> </w:t>
    </w:r>
  </w:p>
  <w:tbl>
    <w:tblPr>
      <w:tblW w:w="10314" w:type="dxa"/>
      <w:tblInd w:w="-318" w:type="dxa"/>
      <w:tblLook w:val="04A0" w:firstRow="1" w:lastRow="0" w:firstColumn="1" w:lastColumn="0" w:noHBand="0" w:noVBand="1"/>
    </w:tblPr>
    <w:tblGrid>
      <w:gridCol w:w="3411"/>
      <w:gridCol w:w="6903"/>
    </w:tblGrid>
    <w:tr w:rsidR="00EE70FA" w:rsidRPr="009E0ED6" w14:paraId="244B4770" w14:textId="77777777" w:rsidTr="009213D6">
      <w:tc>
        <w:tcPr>
          <w:tcW w:w="2802" w:type="dxa"/>
          <w:vMerge w:val="restart"/>
          <w:shd w:val="clear" w:color="auto" w:fill="auto"/>
          <w:vAlign w:val="center"/>
        </w:tcPr>
        <w:p w14:paraId="5B8FD82F" w14:textId="074A75CC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center"/>
            <w:rPr>
              <w:rFonts w:ascii="Calibri" w:eastAsia="Times New Roman" w:hAnsi="Calibri" w:cs="Calibri"/>
              <w:i/>
              <w:sz w:val="24"/>
              <w:szCs w:val="24"/>
              <w:lang w:eastAsia="pl-PL"/>
            </w:rPr>
          </w:pPr>
          <w:r w:rsidRPr="009E0ED6">
            <w:rPr>
              <w:rFonts w:ascii="Calibri" w:eastAsia="Times New Roman" w:hAnsi="Calibri" w:cs="Calibri"/>
              <w:i/>
              <w:noProof/>
              <w:sz w:val="24"/>
              <w:szCs w:val="24"/>
              <w:lang w:eastAsia="pl-PL"/>
            </w:rPr>
            <w:drawing>
              <wp:inline distT="0" distB="0" distL="0" distR="0" wp14:anchorId="080704CC" wp14:editId="2805F310">
                <wp:extent cx="2028825" cy="1019175"/>
                <wp:effectExtent l="0" t="0" r="0" b="0"/>
                <wp:docPr id="1" name="Obraz 1" descr="spin-place_logo-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spin-place_logo-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1019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shd w:val="clear" w:color="auto" w:fill="auto"/>
        </w:tcPr>
        <w:p w14:paraId="3865611C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center"/>
            <w:rPr>
              <w:rFonts w:ascii="Calibri" w:eastAsia="Calibri" w:hAnsi="Calibri" w:cs="Times New Roman"/>
              <w:sz w:val="6"/>
              <w:szCs w:val="6"/>
            </w:rPr>
          </w:pPr>
        </w:p>
      </w:tc>
    </w:tr>
    <w:tr w:rsidR="00EE70FA" w:rsidRPr="009E0ED6" w14:paraId="0404A076" w14:textId="77777777" w:rsidTr="009213D6">
      <w:tc>
        <w:tcPr>
          <w:tcW w:w="2802" w:type="dxa"/>
          <w:vMerge/>
          <w:shd w:val="clear" w:color="auto" w:fill="auto"/>
        </w:tcPr>
        <w:p w14:paraId="77006C79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</w:p>
      </w:tc>
      <w:tc>
        <w:tcPr>
          <w:tcW w:w="7512" w:type="dxa"/>
          <w:shd w:val="clear" w:color="auto" w:fill="auto"/>
        </w:tcPr>
        <w:p w14:paraId="664E6786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  <w:r w:rsidRPr="009E0ED6">
            <w:rPr>
              <w:rFonts w:ascii="Calibri" w:eastAsia="Calibri" w:hAnsi="Calibri" w:cs="Times New Roman"/>
              <w:sz w:val="16"/>
              <w:szCs w:val="16"/>
            </w:rPr>
            <w:t xml:space="preserve">Projekt współfinansowany ze środków Unii Europejskiej </w:t>
          </w:r>
        </w:p>
        <w:p w14:paraId="68E66C66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  <w:r w:rsidRPr="009E0ED6">
            <w:rPr>
              <w:rFonts w:ascii="Calibri" w:eastAsia="Calibri" w:hAnsi="Calibri" w:cs="Times New Roman"/>
              <w:sz w:val="16"/>
              <w:szCs w:val="16"/>
            </w:rPr>
            <w:t xml:space="preserve">z Europejskiego Funduszu Rozwoju Regionalnego </w:t>
          </w:r>
        </w:p>
        <w:p w14:paraId="6AD97465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  <w:r w:rsidRPr="009E0ED6">
            <w:rPr>
              <w:rFonts w:ascii="Calibri" w:eastAsia="Calibri" w:hAnsi="Calibri" w:cs="Times New Roman"/>
              <w:sz w:val="16"/>
              <w:szCs w:val="16"/>
            </w:rPr>
            <w:t xml:space="preserve">w ramach Regionalnego Programu Operacyjnego Województwa Śląskiego na lata 2014-2020 </w:t>
          </w:r>
        </w:p>
        <w:p w14:paraId="335343BF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  <w:r w:rsidRPr="009E0ED6">
            <w:rPr>
              <w:rFonts w:ascii="Calibri" w:eastAsia="Calibri" w:hAnsi="Calibri" w:cs="Times New Roman"/>
              <w:sz w:val="16"/>
              <w:szCs w:val="16"/>
            </w:rPr>
            <w:t>Oś Priorytetowa I Nowoczesna Gospodarka Działanie 1.4  Wsparcie ekosystemu innowacji</w:t>
          </w:r>
        </w:p>
        <w:p w14:paraId="1C5AD65F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  <w:r w:rsidRPr="009E0ED6">
            <w:rPr>
              <w:rFonts w:ascii="Calibri" w:eastAsia="Calibri" w:hAnsi="Calibri" w:cs="Times New Roman"/>
              <w:sz w:val="16"/>
              <w:szCs w:val="16"/>
            </w:rPr>
            <w:t xml:space="preserve">poddziałanie: 1.4.2. Wsparcie regionalnych oraz lokalnych centrów kreatywności i innowacji </w:t>
          </w:r>
        </w:p>
        <w:p w14:paraId="63DEC823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</w:p>
        <w:p w14:paraId="74B0C772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Cs w:val="20"/>
            </w:rPr>
          </w:pPr>
          <w:r w:rsidRPr="009E0ED6">
            <w:rPr>
              <w:rFonts w:ascii="Calibri" w:eastAsia="Calibri" w:hAnsi="Calibri" w:cs="Arial"/>
              <w:sz w:val="16"/>
              <w:szCs w:val="16"/>
            </w:rPr>
            <w:t>Uniwersytet Śląski w Katowicach, ul. Bankowa 12,  40-007  Katowice,  http://www.us.edu.pl</w:t>
          </w:r>
        </w:p>
        <w:p w14:paraId="3CE04D5C" w14:textId="77777777" w:rsidR="00EE70FA" w:rsidRPr="009E0ED6" w:rsidRDefault="00EE70FA" w:rsidP="009E0ED6">
          <w:pPr>
            <w:tabs>
              <w:tab w:val="center" w:pos="4536"/>
              <w:tab w:val="right" w:pos="9072"/>
            </w:tabs>
            <w:spacing w:line="240" w:lineRule="auto"/>
            <w:ind w:left="0" w:firstLine="0"/>
            <w:jc w:val="left"/>
            <w:rPr>
              <w:rFonts w:ascii="Calibri" w:eastAsia="Calibri" w:hAnsi="Calibri" w:cs="Times New Roman"/>
              <w:sz w:val="16"/>
              <w:szCs w:val="16"/>
            </w:rPr>
          </w:pPr>
        </w:p>
      </w:tc>
    </w:tr>
  </w:tbl>
  <w:p w14:paraId="13061C26" w14:textId="77777777" w:rsidR="00EE70FA" w:rsidRPr="00FF31E6" w:rsidRDefault="00EE70FA" w:rsidP="006B35B6">
    <w:pPr>
      <w:pStyle w:val="Stopka"/>
      <w:jc w:val="center"/>
      <w:rPr>
        <w:szCs w:val="20"/>
      </w:rPr>
    </w:pPr>
  </w:p>
  <w:p w14:paraId="72289625" w14:textId="77777777" w:rsidR="00EE70FA" w:rsidRDefault="00EE70FA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EE70FA" w:rsidRDefault="00EE70FA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EE70FA" w:rsidRDefault="00EE70F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EE70FA" w:rsidRDefault="00EE70FA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EE70FA" w:rsidRDefault="00EE70FA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EE70FA" w:rsidRDefault="00EE70FA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F2D31" w14:textId="77777777" w:rsidR="00EE70FA" w:rsidRPr="009E0ED6" w:rsidRDefault="00EE70FA" w:rsidP="009E0ED6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r w:rsidRPr="009E0ED6">
      <w:rPr>
        <w:rFonts w:ascii="Calibri" w:eastAsia="Calibri" w:hAnsi="Calibri" w:cs="Times New Roman"/>
        <w:i/>
        <w:noProof/>
        <w:szCs w:val="20"/>
        <w:lang w:val="en-US" w:eastAsia="pl-PL"/>
      </w:rPr>
      <w:drawing>
        <wp:inline distT="0" distB="0" distL="0" distR="0" wp14:anchorId="6547DCF8" wp14:editId="10F4F4BB">
          <wp:extent cx="5667375" cy="571500"/>
          <wp:effectExtent l="0" t="0" r="9525" b="0"/>
          <wp:docPr id="520" name="Obraz 520" descr="EFRR_kolor_poziom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RR_kolor_poziom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737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258F23" w14:textId="77777777" w:rsidR="00EE70FA" w:rsidRPr="009E0ED6" w:rsidRDefault="00EE70FA" w:rsidP="009E0ED6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 w:val="6"/>
        <w:szCs w:val="6"/>
        <w:lang w:val="en-US" w:eastAsia="pl-PL"/>
      </w:rPr>
    </w:pPr>
  </w:p>
  <w:p w14:paraId="42F0FF7E" w14:textId="77777777" w:rsidR="00EE70FA" w:rsidRPr="009E0ED6" w:rsidRDefault="00EE70FA" w:rsidP="009E0ED6">
    <w:pPr>
      <w:tabs>
        <w:tab w:val="center" w:pos="4536"/>
        <w:tab w:val="right" w:pos="9072"/>
      </w:tabs>
      <w:spacing w:line="240" w:lineRule="auto"/>
      <w:ind w:left="0" w:firstLine="0"/>
      <w:jc w:val="center"/>
      <w:rPr>
        <w:rFonts w:ascii="Calibri" w:eastAsia="Calibri" w:hAnsi="Calibri" w:cs="Times New Roman"/>
        <w:i/>
        <w:szCs w:val="20"/>
        <w:lang w:val="en-US" w:eastAsia="pl-PL"/>
      </w:rPr>
    </w:pP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Projekt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„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SPINplace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— centrum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kreatywności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i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 xml:space="preserve"> </w:t>
    </w:r>
    <w:proofErr w:type="spellStart"/>
    <w:r w:rsidRPr="009E0ED6">
      <w:rPr>
        <w:rFonts w:ascii="Calibri" w:eastAsia="Calibri" w:hAnsi="Calibri" w:cs="Times New Roman"/>
        <w:i/>
        <w:szCs w:val="20"/>
        <w:lang w:val="en-US" w:eastAsia="pl-PL"/>
      </w:rPr>
      <w:t>coworkingu</w:t>
    </w:r>
    <w:proofErr w:type="spellEnd"/>
    <w:r w:rsidRPr="009E0ED6">
      <w:rPr>
        <w:rFonts w:ascii="Calibri" w:eastAsia="Calibri" w:hAnsi="Calibri" w:cs="Times New Roman"/>
        <w:i/>
        <w:szCs w:val="20"/>
        <w:lang w:val="en-US" w:eastAsia="pl-PL"/>
      </w:rPr>
      <w:t>”</w:t>
    </w:r>
  </w:p>
  <w:p w14:paraId="6059B8D5" w14:textId="32864D15" w:rsidR="00EE70FA" w:rsidRPr="003F4892" w:rsidRDefault="00B15EC6" w:rsidP="009E0ED6">
    <w:pPr>
      <w:jc w:val="center"/>
    </w:pPr>
    <w:r>
      <w:rPr>
        <w:rFonts w:ascii="Times New Roman" w:eastAsia="Times New Roman" w:hAnsi="Times New Roman" w:cs="Times New Roman"/>
        <w:i/>
        <w:szCs w:val="20"/>
        <w:lang w:val="en-US" w:eastAsia="pl-PL"/>
      </w:rPr>
      <w:pict w14:anchorId="06D884E6">
        <v:rect id="_x0000_i1025" style="width:411.05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3774CF62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A0E65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6251F1C"/>
    <w:multiLevelType w:val="hybridMultilevel"/>
    <w:tmpl w:val="429A9786"/>
    <w:lvl w:ilvl="0" w:tplc="FF6A38C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2BD54A41"/>
    <w:multiLevelType w:val="hybridMultilevel"/>
    <w:tmpl w:val="14344E1A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2" w15:restartNumberingAfterBreak="0">
    <w:nsid w:val="396068E8"/>
    <w:multiLevelType w:val="multilevel"/>
    <w:tmpl w:val="C4EAB8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D5753D"/>
    <w:multiLevelType w:val="hybridMultilevel"/>
    <w:tmpl w:val="F34C3166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5795A30"/>
    <w:multiLevelType w:val="hybridMultilevel"/>
    <w:tmpl w:val="1AA0E90A"/>
    <w:lvl w:ilvl="0" w:tplc="A09293AC">
      <w:start w:val="2"/>
      <w:numFmt w:val="decimal"/>
      <w:lvlText w:val="%1)"/>
      <w:lvlJc w:val="left"/>
      <w:pPr>
        <w:ind w:left="26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D6890"/>
    <w:multiLevelType w:val="hybridMultilevel"/>
    <w:tmpl w:val="CD443082"/>
    <w:lvl w:ilvl="0" w:tplc="70308568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9"/>
  </w:num>
  <w:num w:numId="5">
    <w:abstractNumId w:val="18"/>
  </w:num>
  <w:num w:numId="6">
    <w:abstractNumId w:val="17"/>
  </w:num>
  <w:num w:numId="7">
    <w:abstractNumId w:val="26"/>
  </w:num>
  <w:num w:numId="8">
    <w:abstractNumId w:val="8"/>
    <w:lvlOverride w:ilvl="0">
      <w:startOverride w:val="1"/>
    </w:lvlOverride>
  </w:num>
  <w:num w:numId="9">
    <w:abstractNumId w:val="23"/>
  </w:num>
  <w:num w:numId="10">
    <w:abstractNumId w:val="22"/>
  </w:num>
  <w:num w:numId="11">
    <w:abstractNumId w:val="3"/>
    <w:lvlOverride w:ilvl="0">
      <w:startOverride w:val="1"/>
    </w:lvlOverride>
  </w:num>
  <w:num w:numId="12">
    <w:abstractNumId w:val="8"/>
    <w:lvlOverride w:ilvl="0">
      <w:startOverride w:val="1"/>
    </w:lvlOverride>
  </w:num>
  <w:num w:numId="13">
    <w:abstractNumId w:val="8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8"/>
    <w:lvlOverride w:ilvl="0">
      <w:startOverride w:val="1"/>
    </w:lvlOverride>
  </w:num>
  <w:num w:numId="16">
    <w:abstractNumId w:val="3"/>
    <w:lvlOverride w:ilvl="0">
      <w:startOverride w:val="1"/>
    </w:lvlOverride>
  </w:num>
  <w:num w:numId="17">
    <w:abstractNumId w:val="8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22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8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3"/>
    <w:lvlOverride w:ilvl="0">
      <w:startOverride w:val="1"/>
    </w:lvlOverride>
  </w:num>
  <w:num w:numId="25">
    <w:abstractNumId w:val="8"/>
    <w:lvlOverride w:ilvl="0">
      <w:startOverride w:val="1"/>
    </w:lvlOverride>
  </w:num>
  <w:num w:numId="26">
    <w:abstractNumId w:val="3"/>
    <w:lvlOverride w:ilvl="0">
      <w:startOverride w:val="1"/>
    </w:lvlOverride>
  </w:num>
  <w:num w:numId="27">
    <w:abstractNumId w:val="3"/>
    <w:lvlOverride w:ilvl="0">
      <w:startOverride w:val="2"/>
    </w:lvlOverride>
  </w:num>
  <w:num w:numId="28">
    <w:abstractNumId w:val="7"/>
  </w:num>
  <w:num w:numId="29">
    <w:abstractNumId w:val="22"/>
    <w:lvlOverride w:ilvl="0">
      <w:startOverride w:val="1"/>
    </w:lvlOverride>
  </w:num>
  <w:num w:numId="30">
    <w:abstractNumId w:val="3"/>
    <w:lvlOverride w:ilvl="0">
      <w:startOverride w:val="1"/>
    </w:lvlOverride>
  </w:num>
  <w:num w:numId="31">
    <w:abstractNumId w:val="8"/>
  </w:num>
  <w:num w:numId="32">
    <w:abstractNumId w:val="3"/>
  </w:num>
  <w:num w:numId="33">
    <w:abstractNumId w:val="8"/>
    <w:lvlOverride w:ilvl="0">
      <w:startOverride w:val="1"/>
    </w:lvlOverride>
  </w:num>
  <w:num w:numId="34">
    <w:abstractNumId w:val="3"/>
    <w:lvlOverride w:ilvl="0">
      <w:startOverride w:val="1"/>
    </w:lvlOverride>
  </w:num>
  <w:num w:numId="35">
    <w:abstractNumId w:val="3"/>
    <w:lvlOverride w:ilvl="0">
      <w:startOverride w:val="1"/>
    </w:lvlOverride>
  </w:num>
  <w:num w:numId="36">
    <w:abstractNumId w:val="15"/>
  </w:num>
  <w:num w:numId="37">
    <w:abstractNumId w:val="22"/>
    <w:lvlOverride w:ilvl="0">
      <w:startOverride w:val="1"/>
    </w:lvlOverride>
  </w:num>
  <w:num w:numId="38">
    <w:abstractNumId w:val="3"/>
    <w:lvlOverride w:ilvl="0">
      <w:startOverride w:val="1"/>
    </w:lvlOverride>
  </w:num>
  <w:num w:numId="39">
    <w:abstractNumId w:val="3"/>
    <w:lvlOverride w:ilvl="0">
      <w:startOverride w:val="1"/>
    </w:lvlOverride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1">
    <w:abstractNumId w:val="8"/>
    <w:lvlOverride w:ilvl="0">
      <w:startOverride w:val="1"/>
    </w:lvlOverride>
  </w:num>
  <w:num w:numId="42">
    <w:abstractNumId w:val="0"/>
  </w:num>
  <w:num w:numId="43">
    <w:abstractNumId w:val="11"/>
  </w:num>
  <w:num w:numId="44">
    <w:abstractNumId w:val="5"/>
  </w:num>
  <w:num w:numId="45">
    <w:abstractNumId w:val="8"/>
    <w:lvlOverride w:ilvl="0">
      <w:startOverride w:val="1"/>
    </w:lvlOverride>
  </w:num>
  <w:num w:numId="46">
    <w:abstractNumId w:val="6"/>
  </w:num>
  <w:num w:numId="47">
    <w:abstractNumId w:val="24"/>
  </w:num>
  <w:num w:numId="48">
    <w:abstractNumId w:val="2"/>
  </w:num>
  <w:num w:numId="49">
    <w:abstractNumId w:val="16"/>
  </w:num>
  <w:num w:numId="50">
    <w:abstractNumId w:val="21"/>
  </w:num>
  <w:num w:numId="51">
    <w:abstractNumId w:val="14"/>
  </w:num>
  <w:num w:numId="52">
    <w:abstractNumId w:val="4"/>
  </w:num>
  <w:num w:numId="53">
    <w:abstractNumId w:val="1"/>
  </w:num>
  <w:num w:numId="54">
    <w:abstractNumId w:val="20"/>
  </w:num>
  <w:num w:numId="55">
    <w:abstractNumId w:val="25"/>
  </w:num>
  <w:num w:numId="56">
    <w:abstractNumId w:val="1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998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285D"/>
    <w:rsid w:val="00017990"/>
    <w:rsid w:val="00021C6F"/>
    <w:rsid w:val="00023CE7"/>
    <w:rsid w:val="0002557B"/>
    <w:rsid w:val="00034894"/>
    <w:rsid w:val="0003593D"/>
    <w:rsid w:val="000431C2"/>
    <w:rsid w:val="000479C6"/>
    <w:rsid w:val="000518A0"/>
    <w:rsid w:val="00052289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394F"/>
    <w:rsid w:val="00073AF7"/>
    <w:rsid w:val="00080C23"/>
    <w:rsid w:val="00081323"/>
    <w:rsid w:val="00081FD8"/>
    <w:rsid w:val="00083060"/>
    <w:rsid w:val="000836B7"/>
    <w:rsid w:val="00097E19"/>
    <w:rsid w:val="000A2883"/>
    <w:rsid w:val="000A37EA"/>
    <w:rsid w:val="000A3D64"/>
    <w:rsid w:val="000A5BCB"/>
    <w:rsid w:val="000B0AAE"/>
    <w:rsid w:val="000C5ABC"/>
    <w:rsid w:val="000C767C"/>
    <w:rsid w:val="000D10E1"/>
    <w:rsid w:val="000D1F37"/>
    <w:rsid w:val="000D4319"/>
    <w:rsid w:val="000D7746"/>
    <w:rsid w:val="000D7D8E"/>
    <w:rsid w:val="000E587B"/>
    <w:rsid w:val="000E5D19"/>
    <w:rsid w:val="000E71E1"/>
    <w:rsid w:val="00103256"/>
    <w:rsid w:val="00110217"/>
    <w:rsid w:val="00111FD4"/>
    <w:rsid w:val="00113823"/>
    <w:rsid w:val="00120932"/>
    <w:rsid w:val="00120996"/>
    <w:rsid w:val="00122C86"/>
    <w:rsid w:val="00125FCF"/>
    <w:rsid w:val="00126D47"/>
    <w:rsid w:val="0013760F"/>
    <w:rsid w:val="001463E7"/>
    <w:rsid w:val="00147280"/>
    <w:rsid w:val="001507BC"/>
    <w:rsid w:val="001509D7"/>
    <w:rsid w:val="00155256"/>
    <w:rsid w:val="00157982"/>
    <w:rsid w:val="001615F5"/>
    <w:rsid w:val="00167AD7"/>
    <w:rsid w:val="00170642"/>
    <w:rsid w:val="00172905"/>
    <w:rsid w:val="001740D0"/>
    <w:rsid w:val="001814C5"/>
    <w:rsid w:val="001824B0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3CC9"/>
    <w:rsid w:val="001B52C6"/>
    <w:rsid w:val="001B565E"/>
    <w:rsid w:val="001B6A6B"/>
    <w:rsid w:val="001C43D0"/>
    <w:rsid w:val="001D05CD"/>
    <w:rsid w:val="001D52C5"/>
    <w:rsid w:val="001E1CE8"/>
    <w:rsid w:val="001E1EB1"/>
    <w:rsid w:val="001E5A79"/>
    <w:rsid w:val="001E7198"/>
    <w:rsid w:val="00200757"/>
    <w:rsid w:val="00200A27"/>
    <w:rsid w:val="00213027"/>
    <w:rsid w:val="0022031B"/>
    <w:rsid w:val="00221638"/>
    <w:rsid w:val="00226310"/>
    <w:rsid w:val="002278D2"/>
    <w:rsid w:val="00230DE9"/>
    <w:rsid w:val="002318AB"/>
    <w:rsid w:val="00235A92"/>
    <w:rsid w:val="0023734C"/>
    <w:rsid w:val="00240A60"/>
    <w:rsid w:val="00241D9C"/>
    <w:rsid w:val="00244022"/>
    <w:rsid w:val="002516A1"/>
    <w:rsid w:val="00272E3F"/>
    <w:rsid w:val="002767DF"/>
    <w:rsid w:val="0027702E"/>
    <w:rsid w:val="002821D4"/>
    <w:rsid w:val="00286153"/>
    <w:rsid w:val="00297EB3"/>
    <w:rsid w:val="002A3574"/>
    <w:rsid w:val="002A41FD"/>
    <w:rsid w:val="002A50F6"/>
    <w:rsid w:val="002B0578"/>
    <w:rsid w:val="002B20B0"/>
    <w:rsid w:val="002B3B39"/>
    <w:rsid w:val="002B5872"/>
    <w:rsid w:val="002B58E1"/>
    <w:rsid w:val="002B6782"/>
    <w:rsid w:val="002D273D"/>
    <w:rsid w:val="002D2F12"/>
    <w:rsid w:val="002D64F0"/>
    <w:rsid w:val="002E4CF0"/>
    <w:rsid w:val="002E60BD"/>
    <w:rsid w:val="002F2EEE"/>
    <w:rsid w:val="002F5524"/>
    <w:rsid w:val="002F56CF"/>
    <w:rsid w:val="00301EA8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41DCF"/>
    <w:rsid w:val="003439DD"/>
    <w:rsid w:val="00343B22"/>
    <w:rsid w:val="0035176B"/>
    <w:rsid w:val="00354EEE"/>
    <w:rsid w:val="00357D01"/>
    <w:rsid w:val="003605F4"/>
    <w:rsid w:val="003636A2"/>
    <w:rsid w:val="00381133"/>
    <w:rsid w:val="00382315"/>
    <w:rsid w:val="003835A5"/>
    <w:rsid w:val="00384DA3"/>
    <w:rsid w:val="00385E23"/>
    <w:rsid w:val="003925AC"/>
    <w:rsid w:val="00394ABD"/>
    <w:rsid w:val="003B3416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E05AE"/>
    <w:rsid w:val="003E1DB0"/>
    <w:rsid w:val="003E36AD"/>
    <w:rsid w:val="003E3BDD"/>
    <w:rsid w:val="003E6CB0"/>
    <w:rsid w:val="003F4892"/>
    <w:rsid w:val="003F6BC9"/>
    <w:rsid w:val="004033EC"/>
    <w:rsid w:val="00404C44"/>
    <w:rsid w:val="004054BE"/>
    <w:rsid w:val="00410DFD"/>
    <w:rsid w:val="0041583C"/>
    <w:rsid w:val="00416D20"/>
    <w:rsid w:val="00416D5A"/>
    <w:rsid w:val="00420B69"/>
    <w:rsid w:val="00430D9E"/>
    <w:rsid w:val="0043134E"/>
    <w:rsid w:val="00432A69"/>
    <w:rsid w:val="00434214"/>
    <w:rsid w:val="00436F8D"/>
    <w:rsid w:val="0043701C"/>
    <w:rsid w:val="00441EC0"/>
    <w:rsid w:val="004516FA"/>
    <w:rsid w:val="00453A7B"/>
    <w:rsid w:val="00455B33"/>
    <w:rsid w:val="00457D79"/>
    <w:rsid w:val="0046749E"/>
    <w:rsid w:val="00467882"/>
    <w:rsid w:val="00471B27"/>
    <w:rsid w:val="00472193"/>
    <w:rsid w:val="00473D30"/>
    <w:rsid w:val="00473F6B"/>
    <w:rsid w:val="00475AAC"/>
    <w:rsid w:val="00477FA3"/>
    <w:rsid w:val="00481E07"/>
    <w:rsid w:val="004837D8"/>
    <w:rsid w:val="00487501"/>
    <w:rsid w:val="00490CBC"/>
    <w:rsid w:val="0049133C"/>
    <w:rsid w:val="0049284A"/>
    <w:rsid w:val="00492B8D"/>
    <w:rsid w:val="0049570C"/>
    <w:rsid w:val="004960E1"/>
    <w:rsid w:val="004A2BDB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7CC"/>
    <w:rsid w:val="00501F30"/>
    <w:rsid w:val="005149DB"/>
    <w:rsid w:val="00515101"/>
    <w:rsid w:val="00522B61"/>
    <w:rsid w:val="00530CAA"/>
    <w:rsid w:val="0053656A"/>
    <w:rsid w:val="0054055E"/>
    <w:rsid w:val="005425C4"/>
    <w:rsid w:val="0055317F"/>
    <w:rsid w:val="00553D74"/>
    <w:rsid w:val="00557CB8"/>
    <w:rsid w:val="005625C2"/>
    <w:rsid w:val="00567937"/>
    <w:rsid w:val="00580C90"/>
    <w:rsid w:val="00584E90"/>
    <w:rsid w:val="00586657"/>
    <w:rsid w:val="00593C25"/>
    <w:rsid w:val="00594E26"/>
    <w:rsid w:val="005968E9"/>
    <w:rsid w:val="005A0F0B"/>
    <w:rsid w:val="005A186A"/>
    <w:rsid w:val="005A19CF"/>
    <w:rsid w:val="005A269D"/>
    <w:rsid w:val="005B34FE"/>
    <w:rsid w:val="005B5871"/>
    <w:rsid w:val="005B5BA7"/>
    <w:rsid w:val="005B5BDF"/>
    <w:rsid w:val="005B5C4C"/>
    <w:rsid w:val="005C144F"/>
    <w:rsid w:val="005C66B9"/>
    <w:rsid w:val="005D2930"/>
    <w:rsid w:val="005D4855"/>
    <w:rsid w:val="005D63CD"/>
    <w:rsid w:val="005D75BF"/>
    <w:rsid w:val="005D7EA1"/>
    <w:rsid w:val="005E427A"/>
    <w:rsid w:val="005E7B56"/>
    <w:rsid w:val="005F0C33"/>
    <w:rsid w:val="005F2A5F"/>
    <w:rsid w:val="005F5918"/>
    <w:rsid w:val="005F5ABD"/>
    <w:rsid w:val="00602A59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7500"/>
    <w:rsid w:val="00635695"/>
    <w:rsid w:val="006364F5"/>
    <w:rsid w:val="00636F3B"/>
    <w:rsid w:val="00637464"/>
    <w:rsid w:val="006378CF"/>
    <w:rsid w:val="00642C54"/>
    <w:rsid w:val="006528BD"/>
    <w:rsid w:val="00656AE8"/>
    <w:rsid w:val="00660E10"/>
    <w:rsid w:val="0066172A"/>
    <w:rsid w:val="00663D66"/>
    <w:rsid w:val="00664C22"/>
    <w:rsid w:val="006675AE"/>
    <w:rsid w:val="006727FE"/>
    <w:rsid w:val="00673F0B"/>
    <w:rsid w:val="00686521"/>
    <w:rsid w:val="00687243"/>
    <w:rsid w:val="006873D8"/>
    <w:rsid w:val="00696973"/>
    <w:rsid w:val="006A1250"/>
    <w:rsid w:val="006A2B8B"/>
    <w:rsid w:val="006A5DE3"/>
    <w:rsid w:val="006A5F11"/>
    <w:rsid w:val="006A784F"/>
    <w:rsid w:val="006B0886"/>
    <w:rsid w:val="006B14D7"/>
    <w:rsid w:val="006B2658"/>
    <w:rsid w:val="006B318B"/>
    <w:rsid w:val="006B35B6"/>
    <w:rsid w:val="006C251D"/>
    <w:rsid w:val="006C5845"/>
    <w:rsid w:val="006C76A2"/>
    <w:rsid w:val="006D3219"/>
    <w:rsid w:val="006D4E1B"/>
    <w:rsid w:val="006D6009"/>
    <w:rsid w:val="006E1313"/>
    <w:rsid w:val="006E2700"/>
    <w:rsid w:val="006E33C4"/>
    <w:rsid w:val="006F2012"/>
    <w:rsid w:val="006F2450"/>
    <w:rsid w:val="007051BA"/>
    <w:rsid w:val="00705575"/>
    <w:rsid w:val="0070662F"/>
    <w:rsid w:val="007124B4"/>
    <w:rsid w:val="007130EC"/>
    <w:rsid w:val="0071379B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586F"/>
    <w:rsid w:val="00747C84"/>
    <w:rsid w:val="00751D66"/>
    <w:rsid w:val="00753946"/>
    <w:rsid w:val="00756496"/>
    <w:rsid w:val="00762B2C"/>
    <w:rsid w:val="00765CD8"/>
    <w:rsid w:val="00765F16"/>
    <w:rsid w:val="007667C8"/>
    <w:rsid w:val="007736C6"/>
    <w:rsid w:val="00774987"/>
    <w:rsid w:val="00780BB9"/>
    <w:rsid w:val="00781509"/>
    <w:rsid w:val="00781B28"/>
    <w:rsid w:val="00782008"/>
    <w:rsid w:val="007905BE"/>
    <w:rsid w:val="00791BE2"/>
    <w:rsid w:val="0079207F"/>
    <w:rsid w:val="00794699"/>
    <w:rsid w:val="0079487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52C3"/>
    <w:rsid w:val="007C7952"/>
    <w:rsid w:val="007D67F0"/>
    <w:rsid w:val="007E1600"/>
    <w:rsid w:val="007E1CA4"/>
    <w:rsid w:val="007E1EB6"/>
    <w:rsid w:val="007E39C8"/>
    <w:rsid w:val="007F153F"/>
    <w:rsid w:val="007F1CC6"/>
    <w:rsid w:val="007F728E"/>
    <w:rsid w:val="00801A5D"/>
    <w:rsid w:val="00802322"/>
    <w:rsid w:val="00803842"/>
    <w:rsid w:val="0080582A"/>
    <w:rsid w:val="0081004B"/>
    <w:rsid w:val="0081100D"/>
    <w:rsid w:val="00812D89"/>
    <w:rsid w:val="00815FE8"/>
    <w:rsid w:val="0082259F"/>
    <w:rsid w:val="008267E1"/>
    <w:rsid w:val="008278FB"/>
    <w:rsid w:val="008325FA"/>
    <w:rsid w:val="00842750"/>
    <w:rsid w:val="00845B0F"/>
    <w:rsid w:val="00853907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6820"/>
    <w:rsid w:val="008C0FA1"/>
    <w:rsid w:val="008C2832"/>
    <w:rsid w:val="008D2094"/>
    <w:rsid w:val="008D5E0B"/>
    <w:rsid w:val="008D6FBC"/>
    <w:rsid w:val="008E0881"/>
    <w:rsid w:val="008E7BEC"/>
    <w:rsid w:val="008F1477"/>
    <w:rsid w:val="008F2B8E"/>
    <w:rsid w:val="009055D5"/>
    <w:rsid w:val="00907E2D"/>
    <w:rsid w:val="00912E09"/>
    <w:rsid w:val="009159B0"/>
    <w:rsid w:val="00915A9C"/>
    <w:rsid w:val="0091618D"/>
    <w:rsid w:val="009161D6"/>
    <w:rsid w:val="009168EB"/>
    <w:rsid w:val="00916BA2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8442D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798F"/>
    <w:rsid w:val="009A7AB0"/>
    <w:rsid w:val="009B5DBA"/>
    <w:rsid w:val="009B64C5"/>
    <w:rsid w:val="009C0358"/>
    <w:rsid w:val="009C40E6"/>
    <w:rsid w:val="009C4387"/>
    <w:rsid w:val="009D33A0"/>
    <w:rsid w:val="009D561E"/>
    <w:rsid w:val="009D7BC2"/>
    <w:rsid w:val="009E0ED6"/>
    <w:rsid w:val="009E363B"/>
    <w:rsid w:val="009E4BCB"/>
    <w:rsid w:val="009E68C1"/>
    <w:rsid w:val="009F0FC8"/>
    <w:rsid w:val="009F21F0"/>
    <w:rsid w:val="009F2A53"/>
    <w:rsid w:val="009F4AE3"/>
    <w:rsid w:val="009F5C6B"/>
    <w:rsid w:val="009F6A1C"/>
    <w:rsid w:val="009F6B67"/>
    <w:rsid w:val="009F79A4"/>
    <w:rsid w:val="00A0368D"/>
    <w:rsid w:val="00A2561E"/>
    <w:rsid w:val="00A26D36"/>
    <w:rsid w:val="00A31BAC"/>
    <w:rsid w:val="00A32F57"/>
    <w:rsid w:val="00A35784"/>
    <w:rsid w:val="00A42E37"/>
    <w:rsid w:val="00A45576"/>
    <w:rsid w:val="00A57F79"/>
    <w:rsid w:val="00A604EE"/>
    <w:rsid w:val="00A62353"/>
    <w:rsid w:val="00A62983"/>
    <w:rsid w:val="00A62DD6"/>
    <w:rsid w:val="00A867B7"/>
    <w:rsid w:val="00A953DB"/>
    <w:rsid w:val="00AA477E"/>
    <w:rsid w:val="00AB0015"/>
    <w:rsid w:val="00AB29F6"/>
    <w:rsid w:val="00AB5F93"/>
    <w:rsid w:val="00AD16D5"/>
    <w:rsid w:val="00AD1DEF"/>
    <w:rsid w:val="00AD4BFC"/>
    <w:rsid w:val="00AD7B52"/>
    <w:rsid w:val="00AE0D46"/>
    <w:rsid w:val="00AE0FC0"/>
    <w:rsid w:val="00AE4CD2"/>
    <w:rsid w:val="00AF09ED"/>
    <w:rsid w:val="00AF6DA0"/>
    <w:rsid w:val="00AF6E83"/>
    <w:rsid w:val="00AF756E"/>
    <w:rsid w:val="00AF799B"/>
    <w:rsid w:val="00AF7FE4"/>
    <w:rsid w:val="00B0024C"/>
    <w:rsid w:val="00B01AF8"/>
    <w:rsid w:val="00B1250E"/>
    <w:rsid w:val="00B15A1F"/>
    <w:rsid w:val="00B15EC6"/>
    <w:rsid w:val="00B16EC9"/>
    <w:rsid w:val="00B173C4"/>
    <w:rsid w:val="00B17E13"/>
    <w:rsid w:val="00B21686"/>
    <w:rsid w:val="00B241D6"/>
    <w:rsid w:val="00B262D1"/>
    <w:rsid w:val="00B3055B"/>
    <w:rsid w:val="00B328AF"/>
    <w:rsid w:val="00B3356E"/>
    <w:rsid w:val="00B340B0"/>
    <w:rsid w:val="00B376D2"/>
    <w:rsid w:val="00B47927"/>
    <w:rsid w:val="00B518CF"/>
    <w:rsid w:val="00B53EEB"/>
    <w:rsid w:val="00B61F3A"/>
    <w:rsid w:val="00B66BD4"/>
    <w:rsid w:val="00B67DD5"/>
    <w:rsid w:val="00B73B67"/>
    <w:rsid w:val="00B75EAD"/>
    <w:rsid w:val="00B7608D"/>
    <w:rsid w:val="00B76184"/>
    <w:rsid w:val="00B76598"/>
    <w:rsid w:val="00B77470"/>
    <w:rsid w:val="00B859CA"/>
    <w:rsid w:val="00B945EF"/>
    <w:rsid w:val="00BA329E"/>
    <w:rsid w:val="00BA4B90"/>
    <w:rsid w:val="00BA4C2B"/>
    <w:rsid w:val="00BA4FE0"/>
    <w:rsid w:val="00BA7E0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4BB9"/>
    <w:rsid w:val="00BF716F"/>
    <w:rsid w:val="00BF753A"/>
    <w:rsid w:val="00C035AE"/>
    <w:rsid w:val="00C0411E"/>
    <w:rsid w:val="00C06BAC"/>
    <w:rsid w:val="00C0760D"/>
    <w:rsid w:val="00C12F23"/>
    <w:rsid w:val="00C13AFF"/>
    <w:rsid w:val="00C14A8D"/>
    <w:rsid w:val="00C243F8"/>
    <w:rsid w:val="00C25340"/>
    <w:rsid w:val="00C32198"/>
    <w:rsid w:val="00C325E2"/>
    <w:rsid w:val="00C35370"/>
    <w:rsid w:val="00C45E70"/>
    <w:rsid w:val="00C470E9"/>
    <w:rsid w:val="00C525F3"/>
    <w:rsid w:val="00C540B8"/>
    <w:rsid w:val="00C6398C"/>
    <w:rsid w:val="00C66027"/>
    <w:rsid w:val="00C66B22"/>
    <w:rsid w:val="00C7019D"/>
    <w:rsid w:val="00C72ACD"/>
    <w:rsid w:val="00C76434"/>
    <w:rsid w:val="00C80205"/>
    <w:rsid w:val="00C80397"/>
    <w:rsid w:val="00C812CA"/>
    <w:rsid w:val="00C858E8"/>
    <w:rsid w:val="00C8603B"/>
    <w:rsid w:val="00CA318B"/>
    <w:rsid w:val="00CA3460"/>
    <w:rsid w:val="00CB21C0"/>
    <w:rsid w:val="00CB38DE"/>
    <w:rsid w:val="00CC1292"/>
    <w:rsid w:val="00CC6329"/>
    <w:rsid w:val="00CD08FA"/>
    <w:rsid w:val="00CD1C73"/>
    <w:rsid w:val="00CD2A5D"/>
    <w:rsid w:val="00CD466A"/>
    <w:rsid w:val="00CD6350"/>
    <w:rsid w:val="00CE0BE8"/>
    <w:rsid w:val="00CE4765"/>
    <w:rsid w:val="00CE4834"/>
    <w:rsid w:val="00CE7E76"/>
    <w:rsid w:val="00CF275B"/>
    <w:rsid w:val="00CF4850"/>
    <w:rsid w:val="00CF4C52"/>
    <w:rsid w:val="00CF6A08"/>
    <w:rsid w:val="00D0074D"/>
    <w:rsid w:val="00D00A2F"/>
    <w:rsid w:val="00D00D00"/>
    <w:rsid w:val="00D027DC"/>
    <w:rsid w:val="00D052E5"/>
    <w:rsid w:val="00D05F0F"/>
    <w:rsid w:val="00D06776"/>
    <w:rsid w:val="00D106D0"/>
    <w:rsid w:val="00D1198C"/>
    <w:rsid w:val="00D24664"/>
    <w:rsid w:val="00D310A4"/>
    <w:rsid w:val="00D31A33"/>
    <w:rsid w:val="00D35735"/>
    <w:rsid w:val="00D35B4B"/>
    <w:rsid w:val="00D4201D"/>
    <w:rsid w:val="00D45702"/>
    <w:rsid w:val="00D51298"/>
    <w:rsid w:val="00D54C1C"/>
    <w:rsid w:val="00D54C40"/>
    <w:rsid w:val="00D55F38"/>
    <w:rsid w:val="00D60F3A"/>
    <w:rsid w:val="00D61394"/>
    <w:rsid w:val="00D65CB7"/>
    <w:rsid w:val="00D749C0"/>
    <w:rsid w:val="00D7626E"/>
    <w:rsid w:val="00D80B9C"/>
    <w:rsid w:val="00D83EC3"/>
    <w:rsid w:val="00D963CD"/>
    <w:rsid w:val="00DA216F"/>
    <w:rsid w:val="00DA6B21"/>
    <w:rsid w:val="00DA74F9"/>
    <w:rsid w:val="00DB261B"/>
    <w:rsid w:val="00DB42F0"/>
    <w:rsid w:val="00DB655D"/>
    <w:rsid w:val="00DD1CDA"/>
    <w:rsid w:val="00DD3628"/>
    <w:rsid w:val="00DD537C"/>
    <w:rsid w:val="00DE1639"/>
    <w:rsid w:val="00DE720A"/>
    <w:rsid w:val="00DF1BF1"/>
    <w:rsid w:val="00E054BA"/>
    <w:rsid w:val="00E078F5"/>
    <w:rsid w:val="00E1454C"/>
    <w:rsid w:val="00E1641F"/>
    <w:rsid w:val="00E23287"/>
    <w:rsid w:val="00E247B9"/>
    <w:rsid w:val="00E25C1E"/>
    <w:rsid w:val="00E30A1A"/>
    <w:rsid w:val="00E50E74"/>
    <w:rsid w:val="00E51823"/>
    <w:rsid w:val="00E56D9B"/>
    <w:rsid w:val="00E57DC0"/>
    <w:rsid w:val="00E60D50"/>
    <w:rsid w:val="00E65319"/>
    <w:rsid w:val="00E654E3"/>
    <w:rsid w:val="00E7441E"/>
    <w:rsid w:val="00E75684"/>
    <w:rsid w:val="00E769ED"/>
    <w:rsid w:val="00E81D74"/>
    <w:rsid w:val="00E83039"/>
    <w:rsid w:val="00E91836"/>
    <w:rsid w:val="00E9373B"/>
    <w:rsid w:val="00E93D14"/>
    <w:rsid w:val="00EA3288"/>
    <w:rsid w:val="00EA5094"/>
    <w:rsid w:val="00EA5F05"/>
    <w:rsid w:val="00EB2564"/>
    <w:rsid w:val="00EC05FC"/>
    <w:rsid w:val="00EC642E"/>
    <w:rsid w:val="00ED0956"/>
    <w:rsid w:val="00ED1B83"/>
    <w:rsid w:val="00ED5508"/>
    <w:rsid w:val="00ED57DE"/>
    <w:rsid w:val="00ED6871"/>
    <w:rsid w:val="00EE14B3"/>
    <w:rsid w:val="00EE380D"/>
    <w:rsid w:val="00EE444D"/>
    <w:rsid w:val="00EE6932"/>
    <w:rsid w:val="00EE70FA"/>
    <w:rsid w:val="00F0343C"/>
    <w:rsid w:val="00F04EF5"/>
    <w:rsid w:val="00F10A86"/>
    <w:rsid w:val="00F1351F"/>
    <w:rsid w:val="00F15E23"/>
    <w:rsid w:val="00F16680"/>
    <w:rsid w:val="00F17680"/>
    <w:rsid w:val="00F23144"/>
    <w:rsid w:val="00F325A8"/>
    <w:rsid w:val="00F32C36"/>
    <w:rsid w:val="00F3531D"/>
    <w:rsid w:val="00F43774"/>
    <w:rsid w:val="00F45E59"/>
    <w:rsid w:val="00F47A89"/>
    <w:rsid w:val="00F47E48"/>
    <w:rsid w:val="00F54060"/>
    <w:rsid w:val="00F649C5"/>
    <w:rsid w:val="00F65A36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6B17"/>
    <w:rsid w:val="00FB0199"/>
    <w:rsid w:val="00FB1BF5"/>
    <w:rsid w:val="00FB1D1B"/>
    <w:rsid w:val="00FB3F58"/>
    <w:rsid w:val="00FC0CC1"/>
    <w:rsid w:val="00FC3A95"/>
    <w:rsid w:val="00FC74E9"/>
    <w:rsid w:val="00FD2DC0"/>
    <w:rsid w:val="00FD474A"/>
    <w:rsid w:val="00FD5254"/>
    <w:rsid w:val="00FD62F5"/>
    <w:rsid w:val="00FD6A03"/>
    <w:rsid w:val="00FE10A7"/>
    <w:rsid w:val="00FE2B3F"/>
    <w:rsid w:val="00FE62B7"/>
    <w:rsid w:val="00FE6C26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7"/>
    <o:shapelayout v:ext="edit">
      <o:idmap v:ext="edit" data="1"/>
    </o:shapelayout>
  </w:shapeDefaults>
  <w:decimalSymbol w:val=","/>
  <w:listSeparator w:val=";"/>
  <w14:docId w14:val="4A34DC32"/>
  <w15:docId w15:val="{31D527F6-4EA4-4AB0-9B1C-8121770A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1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3718C-A9E9-4226-95D6-88D1E8DD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1373</TotalTime>
  <Pages>25</Pages>
  <Words>9529</Words>
  <Characters>57179</Characters>
  <Application>Microsoft Office Word</Application>
  <DocSecurity>0</DocSecurity>
  <Lines>476</Lines>
  <Paragraphs>133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Aneta Szturc-Krawczyk</cp:lastModifiedBy>
  <cp:revision>258</cp:revision>
  <cp:lastPrinted>2023-07-24T11:08:00Z</cp:lastPrinted>
  <dcterms:created xsi:type="dcterms:W3CDTF">2021-02-03T06:43:00Z</dcterms:created>
  <dcterms:modified xsi:type="dcterms:W3CDTF">2023-08-29T10:03:00Z</dcterms:modified>
</cp:coreProperties>
</file>