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92CD9" w14:textId="41ED94D1" w:rsidR="001C0212" w:rsidRDefault="001C0212" w:rsidP="001C0212">
      <w:pPr>
        <w:jc w:val="right"/>
        <w:rPr>
          <w:sz w:val="20"/>
          <w:szCs w:val="20"/>
        </w:rPr>
      </w:pPr>
      <w:r w:rsidRPr="00D41FD8">
        <w:rPr>
          <w:sz w:val="20"/>
          <w:szCs w:val="20"/>
        </w:rPr>
        <w:t xml:space="preserve">Załącznik nr 1 do </w:t>
      </w:r>
      <w:r w:rsidR="00374CC7">
        <w:rPr>
          <w:sz w:val="20"/>
          <w:szCs w:val="20"/>
        </w:rPr>
        <w:t>SIWZ – Opis Przedmiotu Zamówienia</w:t>
      </w:r>
    </w:p>
    <w:p w14:paraId="5272DFA8" w14:textId="04C678E7" w:rsidR="00374CC7" w:rsidRPr="00D41FD8" w:rsidRDefault="00374CC7" w:rsidP="001C0212">
      <w:pPr>
        <w:jc w:val="right"/>
        <w:rPr>
          <w:sz w:val="20"/>
          <w:szCs w:val="20"/>
        </w:rPr>
      </w:pPr>
      <w:r>
        <w:rPr>
          <w:sz w:val="20"/>
          <w:szCs w:val="20"/>
        </w:rPr>
        <w:t>Nr ref. KPFR/SOPF/</w:t>
      </w:r>
      <w:r w:rsidR="00475E8C">
        <w:rPr>
          <w:sz w:val="20"/>
          <w:szCs w:val="20"/>
        </w:rPr>
        <w:t>3</w:t>
      </w:r>
      <w:r>
        <w:rPr>
          <w:sz w:val="20"/>
          <w:szCs w:val="20"/>
        </w:rPr>
        <w:t>/2020</w:t>
      </w:r>
    </w:p>
    <w:p w14:paraId="028A988B" w14:textId="77777777" w:rsidR="00E153D6" w:rsidRDefault="00E153D6" w:rsidP="001C0212">
      <w:pPr>
        <w:jc w:val="right"/>
      </w:pPr>
    </w:p>
    <w:p w14:paraId="5F1A2B77" w14:textId="4668E43C" w:rsidR="006A4235" w:rsidRPr="001C0212" w:rsidRDefault="008213EC" w:rsidP="001C0212">
      <w:pPr>
        <w:jc w:val="both"/>
        <w:rPr>
          <w:b/>
        </w:rPr>
      </w:pPr>
      <w:r w:rsidRPr="001C0212">
        <w:rPr>
          <w:b/>
        </w:rPr>
        <w:t>OPIS PRZEDMIOTU ZAMÓWIENIA</w:t>
      </w:r>
      <w:r w:rsidR="001C0212" w:rsidRPr="001C0212">
        <w:rPr>
          <w:b/>
        </w:rPr>
        <w:t xml:space="preserve">: </w:t>
      </w:r>
      <w:r w:rsidR="00F5234D">
        <w:rPr>
          <w:b/>
          <w:bCs/>
          <w:color w:val="000000"/>
        </w:rPr>
        <w:t>Serwis Systemu do Obsługi Pośredników Finansowych (SOPF)</w:t>
      </w:r>
      <w:r w:rsidR="001B5580">
        <w:rPr>
          <w:b/>
        </w:rPr>
        <w:t>.</w:t>
      </w:r>
    </w:p>
    <w:p w14:paraId="436A5E67" w14:textId="77777777" w:rsidR="00E872DF" w:rsidRDefault="00E872DF" w:rsidP="00E872DF">
      <w:pPr>
        <w:jc w:val="both"/>
      </w:pPr>
      <w:r>
        <w:t xml:space="preserve">System do Obsługi Pośredników Finansowych (SOPF) stanowi platformę sprawozdawczą dla Pośredników Finansowych wybranych przez KPFR sp. z o.o. w Toruniu. System służy do rozliczania wsparcia udzielonego mikro, małym i średnim przedsiębiorcom przez Pośredników Finansowych w Województwie Kujawsko-Pomorskim. </w:t>
      </w:r>
      <w:bookmarkStart w:id="0" w:name="_GoBack"/>
      <w:bookmarkEnd w:id="0"/>
    </w:p>
    <w:p w14:paraId="62B47194" w14:textId="77777777" w:rsidR="00E872DF" w:rsidRDefault="00E872DF" w:rsidP="00E872DF">
      <w:pPr>
        <w:jc w:val="both"/>
      </w:pPr>
      <w:r>
        <w:t>Z Systemu użytkownicy korzystają tylko i wyłącznie za pośrednictwem przeglądarki internetowej z dowolnego sprzętu i miejsca. Nie istnieje wersja mobilna systemu w postaci aplikacji przeznaczonej na urządzenia przenośne typu smartfon/tablet.</w:t>
      </w:r>
    </w:p>
    <w:p w14:paraId="3F7624A4" w14:textId="77777777" w:rsidR="00E872DF" w:rsidRDefault="00E872DF" w:rsidP="00E872DF">
      <w:pPr>
        <w:jc w:val="both"/>
      </w:pPr>
      <w:r>
        <w:t>Użytkownikami systemu są pracownicy KPFR, którzy sprawdzają dane, sprawozdania, kontaktują się z innymi użytkownikami, a także pracownicy Pośredników Finansowych, którzy wprowadzają dane i generują dla KPFR sprawozdania. Sprawozdania są podpisywane podpisem elektronicznym (kwalifikowalnym). Dane z SOPF są eksportowane do zdefiniowanych raportów za żądany okres sprawozdawczy.</w:t>
      </w:r>
    </w:p>
    <w:p w14:paraId="3268744E" w14:textId="77777777" w:rsidR="00E872DF" w:rsidRDefault="00E872DF" w:rsidP="00E872DF">
      <w:pPr>
        <w:jc w:val="both"/>
      </w:pPr>
      <w:r>
        <w:t xml:space="preserve">Architektura systemu oparta jest o stos technologiczny Java EE – serwer aplikacyjny, bazę danych </w:t>
      </w:r>
      <w:r>
        <w:br/>
        <w:t>i moduł kryptograficzny Szafir.</w:t>
      </w:r>
      <w:r w:rsidRPr="00A9116D">
        <w:t xml:space="preserve"> </w:t>
      </w:r>
      <w:proofErr w:type="spellStart"/>
      <w:r>
        <w:t>Back</w:t>
      </w:r>
      <w:proofErr w:type="spellEnd"/>
      <w:r>
        <w:t xml:space="preserve">-end: Apache </w:t>
      </w:r>
      <w:proofErr w:type="spellStart"/>
      <w:r>
        <w:t>Tomcat</w:t>
      </w:r>
      <w:proofErr w:type="spellEnd"/>
      <w:r>
        <w:t xml:space="preserve"> 8.5.16, </w:t>
      </w:r>
      <w:proofErr w:type="spellStart"/>
      <w:r>
        <w:t>nginx</w:t>
      </w:r>
      <w:proofErr w:type="spellEnd"/>
      <w:r>
        <w:t xml:space="preserve">: 1.12.2 oraz Front-end: Framework JSF </w:t>
      </w:r>
      <w:proofErr w:type="spellStart"/>
      <w:r>
        <w:t>Mojarra</w:t>
      </w:r>
      <w:proofErr w:type="spellEnd"/>
      <w:r>
        <w:t xml:space="preserve"> z użyciem </w:t>
      </w:r>
      <w:proofErr w:type="spellStart"/>
      <w:r>
        <w:t>PrimeFaces</w:t>
      </w:r>
      <w:proofErr w:type="spellEnd"/>
      <w:r>
        <w:t xml:space="preserve"> 6.1, </w:t>
      </w:r>
      <w:proofErr w:type="spellStart"/>
      <w:r>
        <w:t>jQuery</w:t>
      </w:r>
      <w:proofErr w:type="spellEnd"/>
      <w:r>
        <w:t xml:space="preserve"> 1.11.0, </w:t>
      </w:r>
      <w:proofErr w:type="spellStart"/>
      <w:r>
        <w:t>jQuery</w:t>
      </w:r>
      <w:proofErr w:type="spellEnd"/>
      <w:r>
        <w:t xml:space="preserve"> UI </w:t>
      </w:r>
      <w:proofErr w:type="spellStart"/>
      <w:r>
        <w:t>Core</w:t>
      </w:r>
      <w:proofErr w:type="spellEnd"/>
      <w:r>
        <w:t xml:space="preserve"> 1.11.0, </w:t>
      </w:r>
      <w:proofErr w:type="spellStart"/>
      <w:r>
        <w:t>RequireJS</w:t>
      </w:r>
      <w:proofErr w:type="spellEnd"/>
      <w:r>
        <w:t xml:space="preserve"> 2.3.5, </w:t>
      </w:r>
      <w:proofErr w:type="spellStart"/>
      <w:r>
        <w:t>jQuery</w:t>
      </w:r>
      <w:proofErr w:type="spellEnd"/>
      <w:r>
        <w:t xml:space="preserve"> UI </w:t>
      </w:r>
      <w:proofErr w:type="spellStart"/>
      <w:r>
        <w:t>Touch</w:t>
      </w:r>
      <w:proofErr w:type="spellEnd"/>
      <w:r>
        <w:t xml:space="preserve"> </w:t>
      </w:r>
      <w:proofErr w:type="spellStart"/>
      <w:r>
        <w:t>Punch</w:t>
      </w:r>
      <w:proofErr w:type="spellEnd"/>
      <w:r>
        <w:t xml:space="preserve"> 0.2.3, </w:t>
      </w:r>
      <w:proofErr w:type="spellStart"/>
      <w:r>
        <w:t>Sizzle</w:t>
      </w:r>
      <w:proofErr w:type="spellEnd"/>
      <w:r>
        <w:t xml:space="preserve"> CSS </w:t>
      </w:r>
      <w:proofErr w:type="spellStart"/>
      <w:r>
        <w:t>Selector</w:t>
      </w:r>
      <w:proofErr w:type="spellEnd"/>
      <w:r>
        <w:t xml:space="preserve"> Engine 2.2.0 i przy użyciu szablonu </w:t>
      </w:r>
      <w:proofErr w:type="spellStart"/>
      <w:r>
        <w:t>Aristo</w:t>
      </w:r>
      <w:proofErr w:type="spellEnd"/>
      <w:r>
        <w:t>. System SOPF</w:t>
      </w:r>
      <w:r w:rsidRPr="00A9116D">
        <w:t xml:space="preserve"> udostępnion</w:t>
      </w:r>
      <w:r>
        <w:t>y</w:t>
      </w:r>
      <w:r w:rsidRPr="00A9116D">
        <w:t xml:space="preserve"> jest na porcie 443 i używa certyfikatu wystawionego przez certum.pl z silnym 4096-bitowym kluczem szyfrowania.</w:t>
      </w:r>
    </w:p>
    <w:p w14:paraId="6C42AE2C" w14:textId="77777777" w:rsidR="00E872DF" w:rsidRDefault="00E872DF" w:rsidP="00E872DF">
      <w:pPr>
        <w:jc w:val="both"/>
      </w:pPr>
      <w:r>
        <w:t>Obowiązki Wykonawcy związane z realizacją zamówienia:</w:t>
      </w:r>
    </w:p>
    <w:p w14:paraId="5520C605" w14:textId="77777777" w:rsidR="00E872DF" w:rsidRDefault="00E872DF" w:rsidP="00E872DF">
      <w:pPr>
        <w:pStyle w:val="Akapitzlist"/>
        <w:numPr>
          <w:ilvl w:val="0"/>
          <w:numId w:val="1"/>
        </w:numPr>
        <w:jc w:val="both"/>
      </w:pPr>
      <w:r>
        <w:t xml:space="preserve">Wykonawca zobowiązany jest po zawarciu umowy do serwisowania i utrzymania aplikacji SOPF w zakresie wskazanym przez Zamawiającego. </w:t>
      </w:r>
      <w:r w:rsidRPr="008353DE">
        <w:t>Serwis obejmuje cał</w:t>
      </w:r>
      <w:r>
        <w:t>ą</w:t>
      </w:r>
      <w:r w:rsidRPr="008353DE">
        <w:t xml:space="preserve"> aplikację SOPF, tj. zarówno program w zakresie, w jakim funkcjonuje na dzień </w:t>
      </w:r>
      <w:r>
        <w:t>zawarcia umowy,</w:t>
      </w:r>
      <w:r w:rsidRPr="008353DE">
        <w:t xml:space="preserve">  jak i nowe moduły</w:t>
      </w:r>
      <w:r>
        <w:t>, które mogą zostać uruchomione w przyszłości</w:t>
      </w:r>
      <w:r w:rsidRPr="008353DE">
        <w:t>. Wykonawca będzie świadczył usługi w</w:t>
      </w:r>
      <w:r>
        <w:t> </w:t>
      </w:r>
      <w:r w:rsidRPr="008353DE">
        <w:t xml:space="preserve">systemie </w:t>
      </w:r>
      <w:r>
        <w:t>miesięcznym, zryczałtowanym</w:t>
      </w:r>
      <w:r w:rsidRPr="008353DE">
        <w:t>.</w:t>
      </w:r>
      <w:r>
        <w:t xml:space="preserve"> </w:t>
      </w:r>
      <w:r w:rsidRPr="008353DE">
        <w:t>Zamawiający przewiduje</w:t>
      </w:r>
      <w:r>
        <w:t>, na podstawie dotychczasowego doświadczenia,</w:t>
      </w:r>
      <w:r w:rsidRPr="008353DE">
        <w:t xml:space="preserve"> zapotrzebowanie na około 5 godzin serwisowania  – miesięcznie. Podana liczba jest tylko szacunkową wartością.</w:t>
      </w:r>
      <w:r>
        <w:tab/>
      </w:r>
      <w:r>
        <w:br/>
        <w:t>Oprócz podstawowej aplikacji SOPF, wykonawca będzie zobowiązany do utrzymania kopii systemu w postaci wersji testowej (developerskiej, umieszczonej na równoważnym serwerze Zamawiającego), która ma za zadanie testować nową funkcjonalność SOPF, być źródłem dla szkoleń pośredników finansowych czy nowych pracowników Zamawiającego. Szczegóły zawiera załącznik nr 2 – Wzór umowy.</w:t>
      </w:r>
      <w:r>
        <w:tab/>
      </w:r>
    </w:p>
    <w:p w14:paraId="6559875B" w14:textId="77777777" w:rsidR="00E872DF" w:rsidRDefault="00E872DF" w:rsidP="00E872DF">
      <w:pPr>
        <w:pStyle w:val="Akapitzlist"/>
        <w:numPr>
          <w:ilvl w:val="0"/>
          <w:numId w:val="1"/>
        </w:numPr>
        <w:ind w:left="709" w:hanging="425"/>
        <w:jc w:val="both"/>
      </w:pPr>
      <w:r>
        <w:t xml:space="preserve">Okres świadczenia usługi – 12 miesięcy od momentu zawarcia umowy </w:t>
      </w:r>
      <w:r w:rsidRPr="00D92912">
        <w:t>w systemie miesięcznym</w:t>
      </w:r>
      <w:r>
        <w:t xml:space="preserve">. </w:t>
      </w:r>
      <w:r w:rsidRPr="00D92912">
        <w:t>Po każdym okresie rozliczeniowym</w:t>
      </w:r>
      <w:r>
        <w:t xml:space="preserve"> (po każdym miesiącu świadczenia usługi)</w:t>
      </w:r>
      <w:r w:rsidRPr="00D92912">
        <w:t>, Zamawiający ma prawo żądania przygotowania przez Wykonawcę raportu z wykonanych czynności. Raport ten powinien zawierać informację o rodzaju wykonanych czynności i</w:t>
      </w:r>
      <w:r>
        <w:t> </w:t>
      </w:r>
      <w:r w:rsidRPr="00D92912">
        <w:t>zadaniach, informację o sposobie i zasadach przeprowadzani</w:t>
      </w:r>
      <w:r>
        <w:t>a</w:t>
      </w:r>
      <w:r w:rsidRPr="00D92912">
        <w:t xml:space="preserve"> bieżącego monitoringu, o</w:t>
      </w:r>
      <w:r>
        <w:t> </w:t>
      </w:r>
      <w:r w:rsidRPr="00D92912">
        <w:t xml:space="preserve">wykrytych ewentualnych nieprawidłowościach, a także o stanie bezpieczeństwa informacji gromadzonych i przetwarzanych w SOPF.  Dodatkowo, o ile zostały wprowadzone, również informację o poprawkach czy dokonanych zmianach w Systemie. </w:t>
      </w:r>
      <w:r w:rsidRPr="00E05BCD">
        <w:t xml:space="preserve">Zamawiający przewiduje </w:t>
      </w:r>
      <w:r w:rsidRPr="00E05BCD">
        <w:lastRenderedPageBreak/>
        <w:t xml:space="preserve">udzielenie zamówienia podstawowego oraz ewentualnego zamówienia w ramach prawa opcji, na kolejny 12 miesięczny okres. </w:t>
      </w:r>
      <w:r w:rsidRPr="00D41FD8">
        <w:t>Wielkość i zakres zamówienia udostępnianego Wykonawcy w ramach prawa opcji wynosi do 100% wysokości zamówienia podstawowego, czyli okres świadczenia w ramach prawa opcji może wynieść do</w:t>
      </w:r>
      <w:r>
        <w:t> </w:t>
      </w:r>
      <w:r w:rsidRPr="00D41FD8">
        <w:t>12 kolejnych miesięcy, następujących po zrealizowaniu zamówienia podstawowego</w:t>
      </w:r>
      <w:r>
        <w:t xml:space="preserve">. </w:t>
      </w:r>
      <w:r>
        <w:tab/>
      </w:r>
    </w:p>
    <w:p w14:paraId="36AA8A39" w14:textId="77777777" w:rsidR="00E872DF" w:rsidRDefault="00E872DF" w:rsidP="00E872DF">
      <w:pPr>
        <w:pStyle w:val="Akapitzlist"/>
        <w:numPr>
          <w:ilvl w:val="0"/>
          <w:numId w:val="1"/>
        </w:numPr>
        <w:jc w:val="both"/>
      </w:pPr>
      <w:r>
        <w:t xml:space="preserve">Obsługa serwisowa Systemu SOPF w okresie 12 miesięcy, tj. w okresie trwania umowy, polegać będzie w szczególności na bieżącym usuwaniu awarii, usterek, monitorowaniu prawidłowości działania Systemu oraz dostarczaniu na zlecenie zamawiającego tabel z danymi zapisanymi w bazie danych SQL SOPF poprzez odpowiednie zapytanie SQL przygotowane przez Wykonawcę (np. zestawienie danych z kalkulatora wynagrodzeń). </w:t>
      </w:r>
      <w:r>
        <w:tab/>
      </w:r>
      <w:r>
        <w:br/>
        <w:t>Serwis obejmuje również prace związane z aktualizacją oprogramowania wykorzystywanego przez system SOPF (m.in. Szafir, SQL, Java i inne niezbędne aktualizacje do prawidłowego funkcjonowania systemu SOPF).</w:t>
      </w:r>
      <w:r>
        <w:tab/>
      </w:r>
      <w:r>
        <w:br/>
        <w:t>W ramach zamówienia (serwisu):</w:t>
      </w:r>
    </w:p>
    <w:p w14:paraId="47857038" w14:textId="77777777" w:rsidR="00E872DF" w:rsidRDefault="00E872DF" w:rsidP="00E872DF">
      <w:pPr>
        <w:pStyle w:val="Akapitzlist"/>
        <w:numPr>
          <w:ilvl w:val="1"/>
          <w:numId w:val="1"/>
        </w:numPr>
      </w:pPr>
      <w:r>
        <w:t>Wykonawca gwarantuje obsługę serwisową według parametrów:</w:t>
      </w:r>
    </w:p>
    <w:p w14:paraId="652EE112" w14:textId="77777777" w:rsidR="00E872DF" w:rsidRPr="00F614DF" w:rsidRDefault="00E872DF" w:rsidP="00E872DF">
      <w:pPr>
        <w:pStyle w:val="Akapitzlist"/>
        <w:numPr>
          <w:ilvl w:val="2"/>
          <w:numId w:val="1"/>
        </w:numPr>
      </w:pPr>
      <w:r w:rsidRPr="00F614DF">
        <w:t xml:space="preserve">Czas reakcji </w:t>
      </w:r>
      <w:r>
        <w:t>- 1</w:t>
      </w:r>
      <w:r w:rsidRPr="00F614DF">
        <w:t xml:space="preserve"> D</w:t>
      </w:r>
      <w:r>
        <w:t>zień</w:t>
      </w:r>
      <w:r w:rsidRPr="00F614DF">
        <w:t xml:space="preserve"> Robocz</w:t>
      </w:r>
      <w:r>
        <w:t>y.</w:t>
      </w:r>
    </w:p>
    <w:p w14:paraId="527D4961" w14:textId="77777777" w:rsidR="00E872DF" w:rsidRPr="00F614DF" w:rsidRDefault="00E872DF" w:rsidP="00E872DF">
      <w:pPr>
        <w:pStyle w:val="Akapitzlist"/>
        <w:numPr>
          <w:ilvl w:val="2"/>
          <w:numId w:val="1"/>
        </w:numPr>
      </w:pPr>
      <w:r w:rsidRPr="00F614DF">
        <w:t>Usuni</w:t>
      </w:r>
      <w:r>
        <w:t>ę</w:t>
      </w:r>
      <w:r w:rsidRPr="00F614DF">
        <w:t>cie Awarii</w:t>
      </w:r>
      <w:r>
        <w:t xml:space="preserve"> –</w:t>
      </w:r>
      <w:r w:rsidRPr="00F614DF">
        <w:t xml:space="preserve"> </w:t>
      </w:r>
      <w:r>
        <w:t>do 5</w:t>
      </w:r>
      <w:r w:rsidRPr="00F614DF">
        <w:t xml:space="preserve"> Dni Robocz</w:t>
      </w:r>
      <w:r>
        <w:t>ych.</w:t>
      </w:r>
    </w:p>
    <w:p w14:paraId="2B74DFE9" w14:textId="77777777" w:rsidR="00E872DF" w:rsidRPr="00F614DF" w:rsidRDefault="00E872DF" w:rsidP="00E872DF">
      <w:pPr>
        <w:pStyle w:val="Akapitzlist"/>
        <w:numPr>
          <w:ilvl w:val="2"/>
          <w:numId w:val="1"/>
        </w:numPr>
      </w:pPr>
      <w:r w:rsidRPr="00F614DF">
        <w:t>Usunięcie Usterki</w:t>
      </w:r>
      <w:r>
        <w:t xml:space="preserve"> –</w:t>
      </w:r>
      <w:r w:rsidRPr="00F614DF">
        <w:t xml:space="preserve"> </w:t>
      </w:r>
      <w:r>
        <w:t>do 10</w:t>
      </w:r>
      <w:r w:rsidRPr="00F614DF">
        <w:t xml:space="preserve"> Dni Roboczych</w:t>
      </w:r>
      <w:r>
        <w:t>.</w:t>
      </w:r>
    </w:p>
    <w:p w14:paraId="3DBEC709" w14:textId="77777777" w:rsidR="00E872DF" w:rsidRPr="00F614DF" w:rsidRDefault="00E872DF" w:rsidP="00E872DF">
      <w:pPr>
        <w:pStyle w:val="Akapitzlist"/>
        <w:numPr>
          <w:ilvl w:val="1"/>
          <w:numId w:val="1"/>
        </w:numPr>
        <w:jc w:val="both"/>
        <w:rPr>
          <w:rFonts w:ascii="Calibri" w:hAnsi="Calibri"/>
          <w:color w:val="000000"/>
        </w:rPr>
      </w:pPr>
      <w:r>
        <w:rPr>
          <w:rFonts w:ascii="Calibri" w:hAnsi="Calibri"/>
          <w:color w:val="000000"/>
        </w:rPr>
        <w:t>P</w:t>
      </w:r>
      <w:r w:rsidRPr="00F614DF">
        <w:rPr>
          <w:rFonts w:ascii="Calibri" w:hAnsi="Calibri"/>
          <w:color w:val="000000"/>
        </w:rPr>
        <w:t>rzyjmuje się następujące definicje:</w:t>
      </w:r>
    </w:p>
    <w:p w14:paraId="5AE6727E" w14:textId="77777777" w:rsidR="00E872DF" w:rsidRPr="00F614DF" w:rsidRDefault="00E872DF" w:rsidP="00E872DF">
      <w:pPr>
        <w:pStyle w:val="Akapitzlist"/>
        <w:numPr>
          <w:ilvl w:val="2"/>
          <w:numId w:val="1"/>
        </w:numPr>
        <w:jc w:val="both"/>
        <w:rPr>
          <w:rFonts w:ascii="Calibri" w:hAnsi="Calibri"/>
          <w:color w:val="000000"/>
        </w:rPr>
      </w:pPr>
      <w:r w:rsidRPr="00F614DF">
        <w:rPr>
          <w:rFonts w:ascii="Calibri" w:hAnsi="Calibri"/>
          <w:color w:val="000000"/>
        </w:rPr>
        <w:t xml:space="preserve">Awaria – spowodowane błędem oprogramowania lub wadą prac wdrożeniowych zakłócenie pracy </w:t>
      </w:r>
      <w:r>
        <w:rPr>
          <w:rFonts w:ascii="Calibri" w:hAnsi="Calibri"/>
          <w:color w:val="000000"/>
        </w:rPr>
        <w:t xml:space="preserve">większej części funkcji </w:t>
      </w:r>
      <w:r w:rsidRPr="00F614DF">
        <w:rPr>
          <w:rFonts w:ascii="Calibri" w:hAnsi="Calibri"/>
          <w:color w:val="000000"/>
        </w:rPr>
        <w:t xml:space="preserve">Systemu </w:t>
      </w:r>
      <w:r>
        <w:rPr>
          <w:rFonts w:ascii="Calibri" w:hAnsi="Calibri"/>
          <w:color w:val="000000"/>
        </w:rPr>
        <w:t xml:space="preserve">przewidzianej dokumentacją lub głównej funkcji systemu polegającej na obsłudze sprawozdań </w:t>
      </w:r>
      <w:r w:rsidRPr="00F614DF">
        <w:rPr>
          <w:rFonts w:ascii="Calibri" w:hAnsi="Calibri"/>
          <w:color w:val="000000"/>
        </w:rPr>
        <w:t>(np. serwis niedostępny</w:t>
      </w:r>
      <w:r>
        <w:rPr>
          <w:rFonts w:ascii="Calibri" w:hAnsi="Calibri"/>
          <w:color w:val="000000"/>
        </w:rPr>
        <w:t>, brak możliwości złożenia sprawozdania</w:t>
      </w:r>
      <w:r w:rsidRPr="00F614DF">
        <w:rPr>
          <w:rFonts w:ascii="Calibri" w:hAnsi="Calibri"/>
          <w:color w:val="000000"/>
        </w:rPr>
        <w:t>).</w:t>
      </w:r>
    </w:p>
    <w:p w14:paraId="55C33DE3" w14:textId="77777777" w:rsidR="00E872DF" w:rsidRPr="00F614DF" w:rsidRDefault="00E872DF" w:rsidP="00E872DF">
      <w:pPr>
        <w:pStyle w:val="Akapitzlist"/>
        <w:numPr>
          <w:ilvl w:val="2"/>
          <w:numId w:val="1"/>
        </w:numPr>
        <w:jc w:val="both"/>
        <w:rPr>
          <w:rFonts w:ascii="Calibri" w:hAnsi="Calibri"/>
          <w:color w:val="000000"/>
        </w:rPr>
      </w:pPr>
      <w:r w:rsidRPr="00F614DF">
        <w:rPr>
          <w:rFonts w:ascii="Calibri" w:hAnsi="Calibri"/>
          <w:color w:val="000000"/>
        </w:rPr>
        <w:t>Usterka - działanie Systemu niezgodne z dokumentacją, niebędące Awarią</w:t>
      </w:r>
      <w:r>
        <w:rPr>
          <w:rFonts w:ascii="Calibri" w:hAnsi="Calibri"/>
          <w:color w:val="000000"/>
        </w:rPr>
        <w:t>.</w:t>
      </w:r>
    </w:p>
    <w:p w14:paraId="3E2A1FCE" w14:textId="77777777" w:rsidR="00E872DF" w:rsidRPr="00F614DF" w:rsidRDefault="00E872DF" w:rsidP="00E872DF">
      <w:pPr>
        <w:pStyle w:val="Akapitzlist"/>
        <w:numPr>
          <w:ilvl w:val="2"/>
          <w:numId w:val="1"/>
        </w:numPr>
        <w:jc w:val="both"/>
        <w:rPr>
          <w:rFonts w:ascii="Calibri" w:hAnsi="Calibri"/>
          <w:color w:val="000000"/>
        </w:rPr>
      </w:pPr>
      <w:r w:rsidRPr="00F614DF">
        <w:rPr>
          <w:rFonts w:ascii="Calibri" w:hAnsi="Calibri"/>
          <w:color w:val="000000"/>
        </w:rPr>
        <w:t>Czas reakcji – czas, w jakim zostaną podjęte działania w celu usunięcia problemu.</w:t>
      </w:r>
    </w:p>
    <w:p w14:paraId="711302B7" w14:textId="77777777" w:rsidR="00E872DF" w:rsidRDefault="00E872DF" w:rsidP="00E872DF">
      <w:pPr>
        <w:pStyle w:val="Akapitzlist"/>
        <w:numPr>
          <w:ilvl w:val="2"/>
          <w:numId w:val="1"/>
        </w:numPr>
        <w:jc w:val="both"/>
        <w:rPr>
          <w:rFonts w:ascii="Calibri" w:hAnsi="Calibri"/>
          <w:color w:val="000000"/>
        </w:rPr>
      </w:pPr>
      <w:r w:rsidRPr="00F614DF">
        <w:rPr>
          <w:rFonts w:ascii="Calibri" w:hAnsi="Calibri"/>
          <w:color w:val="000000"/>
        </w:rPr>
        <w:t>Dzień Roboczy – dzień od poniedziałku do piątku, z wyłączeniem dni ustawowo wolnych od pracy.</w:t>
      </w:r>
    </w:p>
    <w:p w14:paraId="0CCF7E39" w14:textId="4A6FF081" w:rsidR="005A2FF2" w:rsidRDefault="005A2FF2" w:rsidP="00E872DF">
      <w:pPr>
        <w:jc w:val="both"/>
        <w:rPr>
          <w:rFonts w:ascii="Calibri" w:hAnsi="Calibri"/>
          <w:color w:val="000000"/>
        </w:rPr>
      </w:pPr>
    </w:p>
    <w:sectPr w:rsidR="005A2FF2" w:rsidSect="0015586E">
      <w:headerReference w:type="default" r:id="rId8"/>
      <w:pgSz w:w="11906" w:h="16838"/>
      <w:pgMar w:top="184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C41B" w14:textId="77777777" w:rsidR="00E24C76" w:rsidRDefault="00E24C76" w:rsidP="00E24C76">
      <w:pPr>
        <w:spacing w:after="0" w:line="240" w:lineRule="auto"/>
      </w:pPr>
      <w:r>
        <w:separator/>
      </w:r>
    </w:p>
  </w:endnote>
  <w:endnote w:type="continuationSeparator" w:id="0">
    <w:p w14:paraId="5CCD9223" w14:textId="77777777" w:rsidR="00E24C76" w:rsidRDefault="00E24C76" w:rsidP="00E2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02FA9" w14:textId="77777777" w:rsidR="00E24C76" w:rsidRDefault="00E24C76" w:rsidP="00E24C76">
      <w:pPr>
        <w:spacing w:after="0" w:line="240" w:lineRule="auto"/>
      </w:pPr>
      <w:r>
        <w:separator/>
      </w:r>
    </w:p>
  </w:footnote>
  <w:footnote w:type="continuationSeparator" w:id="0">
    <w:p w14:paraId="4C01080E" w14:textId="77777777" w:rsidR="00E24C76" w:rsidRDefault="00E24C76" w:rsidP="00E24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06163" w14:textId="1CD62824" w:rsidR="00E24C76" w:rsidRDefault="00374CC7">
    <w:pPr>
      <w:pStyle w:val="Nagwek"/>
    </w:pPr>
    <w:r w:rsidRPr="00AC5B9F">
      <w:rPr>
        <w:noProof/>
        <w:lang w:eastAsia="pl-PL"/>
      </w:rPr>
      <w:drawing>
        <wp:inline distT="0" distB="0" distL="0" distR="0" wp14:anchorId="5ECE9D2E" wp14:editId="2818A907">
          <wp:extent cx="5760720" cy="608965"/>
          <wp:effectExtent l="0" t="0" r="0" b="635"/>
          <wp:docPr id="3" name="Obraz 3"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2ED2"/>
    <w:multiLevelType w:val="hybridMultilevel"/>
    <w:tmpl w:val="B204DEA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DD65925"/>
    <w:multiLevelType w:val="hybridMultilevel"/>
    <w:tmpl w:val="3B20A6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CC5A7E"/>
    <w:multiLevelType w:val="hybridMultilevel"/>
    <w:tmpl w:val="AC1E7D94"/>
    <w:lvl w:ilvl="0" w:tplc="0CEAD212">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D65F0E"/>
    <w:multiLevelType w:val="hybridMultilevel"/>
    <w:tmpl w:val="09484F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5"/>
    <w:rsid w:val="00012AAF"/>
    <w:rsid w:val="000275FC"/>
    <w:rsid w:val="00027E3D"/>
    <w:rsid w:val="000363A9"/>
    <w:rsid w:val="000C7505"/>
    <w:rsid w:val="000D466B"/>
    <w:rsid w:val="0015586E"/>
    <w:rsid w:val="00156E96"/>
    <w:rsid w:val="00166E54"/>
    <w:rsid w:val="001827E9"/>
    <w:rsid w:val="0018321C"/>
    <w:rsid w:val="001B44D0"/>
    <w:rsid w:val="001B5580"/>
    <w:rsid w:val="001C0212"/>
    <w:rsid w:val="00224FAD"/>
    <w:rsid w:val="002836E9"/>
    <w:rsid w:val="002B6012"/>
    <w:rsid w:val="00323F43"/>
    <w:rsid w:val="003241AB"/>
    <w:rsid w:val="003301D3"/>
    <w:rsid w:val="00341792"/>
    <w:rsid w:val="00374CC7"/>
    <w:rsid w:val="003B55C4"/>
    <w:rsid w:val="003F6ABB"/>
    <w:rsid w:val="00400EA1"/>
    <w:rsid w:val="00460941"/>
    <w:rsid w:val="00475E8C"/>
    <w:rsid w:val="00483D6A"/>
    <w:rsid w:val="004E61A8"/>
    <w:rsid w:val="004F03F5"/>
    <w:rsid w:val="00527C0A"/>
    <w:rsid w:val="0053008D"/>
    <w:rsid w:val="00566784"/>
    <w:rsid w:val="005868F7"/>
    <w:rsid w:val="005A2FF2"/>
    <w:rsid w:val="005A66D5"/>
    <w:rsid w:val="005E6847"/>
    <w:rsid w:val="006309FC"/>
    <w:rsid w:val="00634748"/>
    <w:rsid w:val="00652E1D"/>
    <w:rsid w:val="006541FA"/>
    <w:rsid w:val="00656D5C"/>
    <w:rsid w:val="006A4235"/>
    <w:rsid w:val="006A56C5"/>
    <w:rsid w:val="006D63F5"/>
    <w:rsid w:val="006E0501"/>
    <w:rsid w:val="007126EE"/>
    <w:rsid w:val="00723243"/>
    <w:rsid w:val="00741692"/>
    <w:rsid w:val="00782AC5"/>
    <w:rsid w:val="007B768C"/>
    <w:rsid w:val="007C1E6D"/>
    <w:rsid w:val="008213EC"/>
    <w:rsid w:val="008353DE"/>
    <w:rsid w:val="00842F27"/>
    <w:rsid w:val="0087616C"/>
    <w:rsid w:val="009233F1"/>
    <w:rsid w:val="00935EA1"/>
    <w:rsid w:val="00985A4F"/>
    <w:rsid w:val="00A167B3"/>
    <w:rsid w:val="00A3406F"/>
    <w:rsid w:val="00A41CD9"/>
    <w:rsid w:val="00A9116D"/>
    <w:rsid w:val="00AC72AE"/>
    <w:rsid w:val="00AF2542"/>
    <w:rsid w:val="00AF7E1B"/>
    <w:rsid w:val="00B52AF5"/>
    <w:rsid w:val="00B94BE1"/>
    <w:rsid w:val="00BA0F1A"/>
    <w:rsid w:val="00BA2225"/>
    <w:rsid w:val="00BB1974"/>
    <w:rsid w:val="00BD2404"/>
    <w:rsid w:val="00C12B71"/>
    <w:rsid w:val="00C35418"/>
    <w:rsid w:val="00CF1964"/>
    <w:rsid w:val="00CF2073"/>
    <w:rsid w:val="00D06AA2"/>
    <w:rsid w:val="00D14568"/>
    <w:rsid w:val="00D41FD8"/>
    <w:rsid w:val="00D477B5"/>
    <w:rsid w:val="00D73369"/>
    <w:rsid w:val="00D92912"/>
    <w:rsid w:val="00DC4CA5"/>
    <w:rsid w:val="00DF54F6"/>
    <w:rsid w:val="00E05BCD"/>
    <w:rsid w:val="00E14B2C"/>
    <w:rsid w:val="00E153D6"/>
    <w:rsid w:val="00E24C76"/>
    <w:rsid w:val="00E41F60"/>
    <w:rsid w:val="00E5004D"/>
    <w:rsid w:val="00E65332"/>
    <w:rsid w:val="00E872DF"/>
    <w:rsid w:val="00E97346"/>
    <w:rsid w:val="00EA5525"/>
    <w:rsid w:val="00EB4B2C"/>
    <w:rsid w:val="00EB51F8"/>
    <w:rsid w:val="00F5234D"/>
    <w:rsid w:val="00F55F15"/>
    <w:rsid w:val="00F60328"/>
    <w:rsid w:val="00F61347"/>
    <w:rsid w:val="00F614DF"/>
    <w:rsid w:val="00FB7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B8A362"/>
  <w15:chartTrackingRefBased/>
  <w15:docId w15:val="{EECD5934-E7B2-4A13-8580-228E5B77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321C"/>
    <w:pPr>
      <w:ind w:left="720"/>
      <w:contextualSpacing/>
    </w:pPr>
  </w:style>
  <w:style w:type="character" w:styleId="Odwoaniedokomentarza">
    <w:name w:val="annotation reference"/>
    <w:basedOn w:val="Domylnaczcionkaakapitu"/>
    <w:uiPriority w:val="99"/>
    <w:semiHidden/>
    <w:unhideWhenUsed/>
    <w:rsid w:val="00F614DF"/>
    <w:rPr>
      <w:sz w:val="16"/>
      <w:szCs w:val="16"/>
    </w:rPr>
  </w:style>
  <w:style w:type="paragraph" w:styleId="Tekstkomentarza">
    <w:name w:val="annotation text"/>
    <w:basedOn w:val="Normalny"/>
    <w:link w:val="TekstkomentarzaZnak"/>
    <w:uiPriority w:val="99"/>
    <w:semiHidden/>
    <w:unhideWhenUsed/>
    <w:rsid w:val="00F614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14DF"/>
    <w:rPr>
      <w:sz w:val="20"/>
      <w:szCs w:val="20"/>
    </w:rPr>
  </w:style>
  <w:style w:type="paragraph" w:styleId="Tekstdymka">
    <w:name w:val="Balloon Text"/>
    <w:basedOn w:val="Normalny"/>
    <w:link w:val="TekstdymkaZnak"/>
    <w:uiPriority w:val="99"/>
    <w:semiHidden/>
    <w:unhideWhenUsed/>
    <w:rsid w:val="00F614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14D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B51F8"/>
    <w:rPr>
      <w:b/>
      <w:bCs/>
    </w:rPr>
  </w:style>
  <w:style w:type="character" w:customStyle="1" w:styleId="TematkomentarzaZnak">
    <w:name w:val="Temat komentarza Znak"/>
    <w:basedOn w:val="TekstkomentarzaZnak"/>
    <w:link w:val="Tematkomentarza"/>
    <w:uiPriority w:val="99"/>
    <w:semiHidden/>
    <w:rsid w:val="00EB51F8"/>
    <w:rPr>
      <w:b/>
      <w:bCs/>
      <w:sz w:val="20"/>
      <w:szCs w:val="20"/>
    </w:rPr>
  </w:style>
  <w:style w:type="paragraph" w:styleId="Nagwek">
    <w:name w:val="header"/>
    <w:basedOn w:val="Normalny"/>
    <w:link w:val="NagwekZnak"/>
    <w:uiPriority w:val="99"/>
    <w:unhideWhenUsed/>
    <w:rsid w:val="00E24C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4C76"/>
  </w:style>
  <w:style w:type="paragraph" w:styleId="Stopka">
    <w:name w:val="footer"/>
    <w:basedOn w:val="Normalny"/>
    <w:link w:val="StopkaZnak"/>
    <w:uiPriority w:val="99"/>
    <w:unhideWhenUsed/>
    <w:rsid w:val="00E24C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5AB5-1AE8-4E2C-AFE0-FCEDE5FD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4317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Beata  Kmieć</cp:lastModifiedBy>
  <cp:revision>4</cp:revision>
  <cp:lastPrinted>2020-01-27T15:24:00Z</cp:lastPrinted>
  <dcterms:created xsi:type="dcterms:W3CDTF">2020-06-19T08:08:00Z</dcterms:created>
  <dcterms:modified xsi:type="dcterms:W3CDTF">2020-07-08T11:32:00Z</dcterms:modified>
</cp:coreProperties>
</file>