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C4" w:rsidRDefault="00EF43A1" w:rsidP="00B27FC4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Opis </w:t>
      </w:r>
      <w:r w:rsidR="00B27FC4" w:rsidRPr="00EF43A1">
        <w:rPr>
          <w:rFonts w:ascii="Arial" w:hAnsi="Arial" w:cs="Arial"/>
          <w:b/>
          <w:caps/>
        </w:rPr>
        <w:t>PRZEDMIOTU ZAMÓWIENIA</w:t>
      </w:r>
    </w:p>
    <w:p w:rsidR="00EF43A1" w:rsidRPr="00EF43A1" w:rsidRDefault="00EF43A1" w:rsidP="00B27FC4">
      <w:pPr>
        <w:jc w:val="center"/>
        <w:rPr>
          <w:rFonts w:ascii="Arial" w:hAnsi="Arial" w:cs="Arial"/>
          <w:b/>
          <w:caps/>
        </w:rPr>
      </w:pPr>
    </w:p>
    <w:p w:rsidR="00B27FC4" w:rsidRPr="00EF43A1" w:rsidRDefault="001078BB" w:rsidP="00B27F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Sekcja Gospodarki Komunalnej i Energetycznej- Infrastruktura</w:t>
      </w:r>
    </w:p>
    <w:p w:rsidR="00B27FC4" w:rsidRPr="00EF43A1" w:rsidRDefault="00B27FC4" w:rsidP="00EF43A1">
      <w:pPr>
        <w:ind w:left="708"/>
        <w:rPr>
          <w:rFonts w:ascii="Arial" w:hAnsi="Arial" w:cs="Arial"/>
          <w:b/>
          <w:i/>
          <w:sz w:val="20"/>
          <w:szCs w:val="20"/>
        </w:rPr>
      </w:pPr>
      <w:r w:rsidRPr="00EF43A1">
        <w:rPr>
          <w:rFonts w:ascii="Arial" w:hAnsi="Arial" w:cs="Arial"/>
          <w:i/>
          <w:sz w:val="20"/>
          <w:szCs w:val="20"/>
        </w:rPr>
        <w:t xml:space="preserve">                   </w:t>
      </w:r>
      <w:r w:rsidR="00EF43A1" w:rsidRPr="00EF43A1">
        <w:rPr>
          <w:rFonts w:ascii="Arial" w:hAnsi="Arial" w:cs="Arial"/>
          <w:i/>
          <w:sz w:val="20"/>
          <w:szCs w:val="20"/>
        </w:rPr>
        <w:t xml:space="preserve">                       </w:t>
      </w:r>
      <w:r w:rsidRPr="00EF43A1">
        <w:rPr>
          <w:rFonts w:ascii="Arial" w:hAnsi="Arial" w:cs="Arial"/>
          <w:i/>
          <w:sz w:val="20"/>
          <w:szCs w:val="20"/>
        </w:rPr>
        <w:t>/nazwa komórki organizacyjnej/</w:t>
      </w:r>
    </w:p>
    <w:p w:rsidR="00B27FC4" w:rsidRPr="00EF43A1" w:rsidRDefault="00B27FC4" w:rsidP="00B27FC4">
      <w:pPr>
        <w:rPr>
          <w:rFonts w:ascii="Arial" w:hAnsi="Arial" w:cs="Arial"/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5324"/>
      </w:tblGrid>
      <w:tr w:rsidR="00B27FC4" w:rsidRPr="00EF43A1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EF43A1" w:rsidRDefault="00B27FC4" w:rsidP="00EF4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43A1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420" w:type="dxa"/>
            <w:vAlign w:val="center"/>
          </w:tcPr>
          <w:p w:rsidR="00B27FC4" w:rsidRPr="00EF43A1" w:rsidRDefault="00B27FC4" w:rsidP="00EF4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43A1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5324" w:type="dxa"/>
            <w:vAlign w:val="center"/>
          </w:tcPr>
          <w:p w:rsidR="00B27FC4" w:rsidRPr="00EF43A1" w:rsidRDefault="00B27FC4" w:rsidP="00EF4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EF43A1">
              <w:rPr>
                <w:rFonts w:ascii="Arial" w:hAnsi="Arial" w:cs="Arial"/>
                <w:b/>
                <w:bCs/>
              </w:rPr>
              <w:t>Dane</w:t>
            </w:r>
          </w:p>
        </w:tc>
      </w:tr>
      <w:tr w:rsidR="00B27FC4" w:rsidRPr="00EF43A1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EF43A1" w:rsidRDefault="00B27FC4" w:rsidP="006E4B88">
            <w:pPr>
              <w:jc w:val="right"/>
              <w:rPr>
                <w:rFonts w:ascii="Arial" w:hAnsi="Arial" w:cs="Arial"/>
              </w:rPr>
            </w:pPr>
            <w:r w:rsidRPr="00EF43A1">
              <w:rPr>
                <w:rFonts w:ascii="Arial" w:hAnsi="Arial" w:cs="Arial"/>
              </w:rPr>
              <w:t>1.</w:t>
            </w:r>
          </w:p>
        </w:tc>
        <w:tc>
          <w:tcPr>
            <w:tcW w:w="3420" w:type="dxa"/>
            <w:vAlign w:val="center"/>
          </w:tcPr>
          <w:p w:rsidR="00B27FC4" w:rsidRPr="00EF43A1" w:rsidRDefault="00B27FC4" w:rsidP="006E4B8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F43A1">
              <w:rPr>
                <w:rFonts w:ascii="Arial" w:hAnsi="Arial" w:cs="Arial"/>
              </w:rPr>
              <w:t xml:space="preserve">Przedmiot zamówienia </w:t>
            </w:r>
          </w:p>
        </w:tc>
        <w:tc>
          <w:tcPr>
            <w:tcW w:w="5324" w:type="dxa"/>
            <w:vAlign w:val="center"/>
          </w:tcPr>
          <w:p w:rsidR="00B27FC4" w:rsidRPr="001078BB" w:rsidRDefault="001078BB" w:rsidP="006E4B88">
            <w:pPr>
              <w:jc w:val="center"/>
              <w:rPr>
                <w:rFonts w:ascii="Arial" w:hAnsi="Arial" w:cs="Arial"/>
              </w:rPr>
            </w:pPr>
            <w:r w:rsidRPr="001078BB">
              <w:rPr>
                <w:sz w:val="22"/>
              </w:rPr>
              <w:t>Kompleksowe świadczenie usług w zakresie monitoringu, deratyzacji, dezynsekcji oraz usuwania owadów błonkoskrzydłych.</w:t>
            </w:r>
          </w:p>
        </w:tc>
      </w:tr>
      <w:tr w:rsidR="00B27FC4" w:rsidRPr="00EF43A1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EF43A1" w:rsidRDefault="00B27FC4" w:rsidP="006E4B88">
            <w:pPr>
              <w:jc w:val="right"/>
              <w:rPr>
                <w:rFonts w:ascii="Arial" w:hAnsi="Arial" w:cs="Arial"/>
              </w:rPr>
            </w:pPr>
            <w:r w:rsidRPr="00EF43A1">
              <w:rPr>
                <w:rFonts w:ascii="Arial" w:hAnsi="Arial" w:cs="Arial"/>
              </w:rPr>
              <w:t>2.</w:t>
            </w:r>
          </w:p>
        </w:tc>
        <w:tc>
          <w:tcPr>
            <w:tcW w:w="3420" w:type="dxa"/>
            <w:vAlign w:val="center"/>
          </w:tcPr>
          <w:p w:rsidR="00B27FC4" w:rsidRPr="00EF43A1" w:rsidRDefault="00B27FC4" w:rsidP="006E4B8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EF43A1">
              <w:rPr>
                <w:rFonts w:ascii="Arial" w:hAnsi="Arial" w:cs="Arial"/>
              </w:rPr>
              <w:t>Ilość</w:t>
            </w:r>
          </w:p>
        </w:tc>
        <w:tc>
          <w:tcPr>
            <w:tcW w:w="5324" w:type="dxa"/>
            <w:vAlign w:val="center"/>
          </w:tcPr>
          <w:p w:rsidR="00B27FC4" w:rsidRPr="00EF43A1" w:rsidRDefault="001078BB" w:rsidP="006E4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27FC4" w:rsidRPr="00EF43A1" w:rsidTr="009B1F19">
        <w:trPr>
          <w:cantSplit/>
          <w:trHeight w:val="560"/>
        </w:trPr>
        <w:tc>
          <w:tcPr>
            <w:tcW w:w="540" w:type="dxa"/>
            <w:vAlign w:val="center"/>
          </w:tcPr>
          <w:p w:rsidR="00B27FC4" w:rsidRPr="00EF43A1" w:rsidRDefault="00B27FC4" w:rsidP="006E4B88">
            <w:pPr>
              <w:jc w:val="right"/>
              <w:rPr>
                <w:rFonts w:ascii="Arial" w:hAnsi="Arial" w:cs="Arial"/>
              </w:rPr>
            </w:pPr>
            <w:r w:rsidRPr="00EF43A1">
              <w:rPr>
                <w:rFonts w:ascii="Arial" w:hAnsi="Arial" w:cs="Arial"/>
              </w:rPr>
              <w:t>3.</w:t>
            </w:r>
          </w:p>
        </w:tc>
        <w:tc>
          <w:tcPr>
            <w:tcW w:w="3420" w:type="dxa"/>
            <w:vAlign w:val="center"/>
          </w:tcPr>
          <w:p w:rsidR="00B27FC4" w:rsidRPr="00EF43A1" w:rsidRDefault="00DB0B80" w:rsidP="006E4B88">
            <w:pPr>
              <w:rPr>
                <w:rFonts w:ascii="Arial" w:hAnsi="Arial" w:cs="Arial"/>
              </w:rPr>
            </w:pPr>
            <w:r w:rsidRPr="00EF43A1">
              <w:rPr>
                <w:rFonts w:ascii="Arial" w:hAnsi="Arial" w:cs="Arial"/>
              </w:rPr>
              <w:t>CPV</w:t>
            </w:r>
          </w:p>
        </w:tc>
        <w:tc>
          <w:tcPr>
            <w:tcW w:w="5324" w:type="dxa"/>
            <w:vAlign w:val="center"/>
          </w:tcPr>
          <w:p w:rsidR="00B27FC4" w:rsidRPr="00EF43A1" w:rsidRDefault="001078BB" w:rsidP="006E4B88">
            <w:pPr>
              <w:jc w:val="center"/>
              <w:rPr>
                <w:rFonts w:ascii="Arial" w:hAnsi="Arial" w:cs="Arial"/>
              </w:rPr>
            </w:pPr>
            <w:r w:rsidRPr="00C80964">
              <w:rPr>
                <w:rFonts w:ascii="Arial" w:hAnsi="Arial" w:cs="Arial"/>
              </w:rPr>
              <w:t>90670000-4</w:t>
            </w:r>
          </w:p>
        </w:tc>
      </w:tr>
      <w:tr w:rsidR="00B27FC4" w:rsidRPr="00EF43A1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27FC4" w:rsidRPr="00EF43A1" w:rsidRDefault="00B27FC4" w:rsidP="006E4B88">
            <w:pPr>
              <w:jc w:val="right"/>
              <w:rPr>
                <w:rFonts w:ascii="Arial" w:hAnsi="Arial" w:cs="Arial"/>
              </w:rPr>
            </w:pPr>
            <w:r w:rsidRPr="00EF43A1">
              <w:rPr>
                <w:rFonts w:ascii="Arial" w:hAnsi="Arial" w:cs="Arial"/>
              </w:rPr>
              <w:t>4.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B27FC4" w:rsidRPr="00EF43A1" w:rsidRDefault="00DB0B80" w:rsidP="006E4B88">
            <w:pPr>
              <w:rPr>
                <w:rFonts w:ascii="Arial" w:hAnsi="Arial" w:cs="Arial"/>
              </w:rPr>
            </w:pPr>
            <w:r w:rsidRPr="00EF43A1">
              <w:rPr>
                <w:rFonts w:ascii="Arial" w:hAnsi="Arial" w:cs="Arial"/>
              </w:rPr>
              <w:t>Inne normy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B27FC4" w:rsidRPr="00EF43A1" w:rsidRDefault="001078BB" w:rsidP="006E4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B0B80" w:rsidRPr="00EF43A1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EF43A1" w:rsidRDefault="00DB0B80" w:rsidP="006E4B88">
            <w:pPr>
              <w:jc w:val="right"/>
              <w:rPr>
                <w:rFonts w:ascii="Arial" w:hAnsi="Arial" w:cs="Arial"/>
              </w:rPr>
            </w:pPr>
            <w:r w:rsidRPr="00EF43A1">
              <w:rPr>
                <w:rFonts w:ascii="Arial" w:hAnsi="Arial" w:cs="Arial"/>
              </w:rPr>
              <w:t>5.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EF43A1" w:rsidRDefault="00DB0B80" w:rsidP="0007347A">
            <w:pPr>
              <w:rPr>
                <w:rFonts w:ascii="Arial" w:hAnsi="Arial" w:cs="Arial"/>
              </w:rPr>
            </w:pPr>
            <w:r w:rsidRPr="00EF43A1">
              <w:rPr>
                <w:rFonts w:ascii="Arial" w:hAnsi="Arial" w:cs="Arial"/>
              </w:rPr>
              <w:t>Oferty częściowe (zadania)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EF43A1" w:rsidRDefault="001078BB" w:rsidP="006E4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DB0B80" w:rsidRPr="00EF43A1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EF43A1" w:rsidRDefault="00DB0B80" w:rsidP="006E4B88">
            <w:pPr>
              <w:jc w:val="right"/>
              <w:rPr>
                <w:rFonts w:ascii="Arial" w:hAnsi="Arial" w:cs="Arial"/>
              </w:rPr>
            </w:pPr>
            <w:r w:rsidRPr="00EF43A1">
              <w:rPr>
                <w:rFonts w:ascii="Arial" w:hAnsi="Arial" w:cs="Arial"/>
              </w:rP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EF43A1" w:rsidRDefault="00DB0B80" w:rsidP="0007347A">
            <w:pPr>
              <w:rPr>
                <w:rFonts w:ascii="Arial" w:hAnsi="Arial" w:cs="Arial"/>
              </w:rPr>
            </w:pPr>
            <w:r w:rsidRPr="00EF43A1">
              <w:rPr>
                <w:rFonts w:ascii="Arial" w:hAnsi="Arial" w:cs="Arial"/>
              </w:rPr>
              <w:t>Oferty równoważne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EF43A1" w:rsidRDefault="00DB0B80" w:rsidP="006E4B88">
            <w:pPr>
              <w:jc w:val="center"/>
              <w:rPr>
                <w:rFonts w:ascii="Arial" w:hAnsi="Arial" w:cs="Arial"/>
              </w:rPr>
            </w:pPr>
            <w:r w:rsidRPr="00EF43A1">
              <w:rPr>
                <w:rFonts w:ascii="Arial" w:hAnsi="Arial" w:cs="Arial"/>
              </w:rPr>
              <w:t xml:space="preserve"> </w:t>
            </w:r>
            <w:r w:rsidR="001078BB">
              <w:rPr>
                <w:rFonts w:ascii="Arial" w:hAnsi="Arial" w:cs="Arial"/>
              </w:rPr>
              <w:t>-</w:t>
            </w:r>
          </w:p>
        </w:tc>
      </w:tr>
      <w:tr w:rsidR="00DB0B80" w:rsidRPr="00EF43A1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EF43A1" w:rsidRDefault="00DB0B80" w:rsidP="006E4B88">
            <w:pPr>
              <w:jc w:val="right"/>
              <w:rPr>
                <w:rFonts w:ascii="Arial" w:hAnsi="Arial" w:cs="Arial"/>
              </w:rPr>
            </w:pPr>
            <w:r w:rsidRPr="00EF43A1">
              <w:rPr>
                <w:rFonts w:ascii="Arial" w:hAnsi="Arial" w:cs="Arial"/>
              </w:rPr>
              <w:t>7.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EF43A1" w:rsidRDefault="00DB0B80" w:rsidP="0007347A">
            <w:pPr>
              <w:rPr>
                <w:rFonts w:ascii="Arial" w:hAnsi="Arial" w:cs="Arial"/>
              </w:rPr>
            </w:pPr>
            <w:r w:rsidRPr="00EF43A1">
              <w:rPr>
                <w:rFonts w:ascii="Arial" w:hAnsi="Arial" w:cs="Arial"/>
              </w:rPr>
              <w:t>Wymogi techniczne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EF43A1" w:rsidRDefault="001078BB" w:rsidP="006E4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Środki z atestami  i dopuszczeniem do stosowania</w:t>
            </w:r>
          </w:p>
        </w:tc>
      </w:tr>
      <w:tr w:rsidR="00DB0B80" w:rsidRPr="00EF43A1" w:rsidTr="009B1F19">
        <w:trPr>
          <w:cantSplit/>
          <w:trHeight w:val="56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B0B80" w:rsidRPr="00EF43A1" w:rsidRDefault="00DB0B80" w:rsidP="006E4B88">
            <w:pPr>
              <w:jc w:val="right"/>
              <w:rPr>
                <w:rFonts w:ascii="Arial" w:hAnsi="Arial" w:cs="Arial"/>
              </w:rPr>
            </w:pPr>
            <w:r w:rsidRPr="00EF43A1">
              <w:rPr>
                <w:rFonts w:ascii="Arial" w:hAnsi="Arial" w:cs="Arial"/>
              </w:rPr>
              <w:t>8.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B0B80" w:rsidRPr="00EF43A1" w:rsidRDefault="00DB0B80" w:rsidP="0007347A">
            <w:pPr>
              <w:rPr>
                <w:rFonts w:ascii="Arial" w:hAnsi="Arial" w:cs="Arial"/>
              </w:rPr>
            </w:pPr>
            <w:r w:rsidRPr="00EF43A1">
              <w:rPr>
                <w:rFonts w:ascii="Arial" w:hAnsi="Arial" w:cs="Arial"/>
              </w:rPr>
              <w:t>Usługi dodatkowe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:rsidR="00DB0B80" w:rsidRPr="00EF43A1" w:rsidRDefault="001078BB" w:rsidP="006E4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1078BB" w:rsidRDefault="001078BB" w:rsidP="001078BB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1078BB" w:rsidRDefault="001078BB" w:rsidP="001078BB">
      <w:pPr>
        <w:autoSpaceDE w:val="0"/>
        <w:autoSpaceDN w:val="0"/>
        <w:adjustRightInd w:val="0"/>
        <w:spacing w:line="360" w:lineRule="auto"/>
        <w:jc w:val="both"/>
      </w:pPr>
      <w:r>
        <w:t xml:space="preserve">Przedmiotem zamówienia jest kompleksowe świadczenie usług w zakresie profilaktyki </w:t>
      </w:r>
      <w:r>
        <w:br/>
        <w:t xml:space="preserve">w ramach Dobrej Praktyki Higienicznej (HACCP) i zwalczania szkodników w obiektach administrowanych przez 43 Wojskowy Oddział Gospodarczy w Świętoszowie, a obsługiwanych przez Grupy Zabezpieczenia : </w:t>
      </w:r>
    </w:p>
    <w:p w:rsidR="001078BB" w:rsidRDefault="001078BB" w:rsidP="001078BB">
      <w:pPr>
        <w:numPr>
          <w:ilvl w:val="0"/>
          <w:numId w:val="4"/>
        </w:numPr>
        <w:spacing w:line="360" w:lineRule="auto"/>
      </w:pPr>
      <w:r>
        <w:t>Część I – GZ Żagań,</w:t>
      </w:r>
    </w:p>
    <w:p w:rsidR="001078BB" w:rsidRDefault="001078BB" w:rsidP="001078BB">
      <w:pPr>
        <w:numPr>
          <w:ilvl w:val="0"/>
          <w:numId w:val="4"/>
        </w:numPr>
        <w:spacing w:line="360" w:lineRule="auto"/>
      </w:pPr>
      <w:r>
        <w:t xml:space="preserve">Część II – GZ Dobre n/Kwisą </w:t>
      </w:r>
    </w:p>
    <w:p w:rsidR="001078BB" w:rsidRDefault="001078BB" w:rsidP="001078BB">
      <w:pPr>
        <w:numPr>
          <w:ilvl w:val="0"/>
          <w:numId w:val="4"/>
        </w:numPr>
        <w:spacing w:line="360" w:lineRule="auto"/>
      </w:pPr>
      <w:r>
        <w:t>Część III – GZ Świętoszów,</w:t>
      </w:r>
    </w:p>
    <w:p w:rsidR="001078BB" w:rsidRDefault="001078BB" w:rsidP="001078BB">
      <w:pPr>
        <w:numPr>
          <w:ilvl w:val="0"/>
          <w:numId w:val="4"/>
        </w:numPr>
        <w:spacing w:line="360" w:lineRule="auto"/>
      </w:pPr>
      <w:r>
        <w:t xml:space="preserve">Część IV – GZ Głogów </w:t>
      </w:r>
    </w:p>
    <w:p w:rsidR="001078BB" w:rsidRDefault="001078BB" w:rsidP="001078BB">
      <w:pPr>
        <w:numPr>
          <w:ilvl w:val="0"/>
          <w:numId w:val="4"/>
        </w:numPr>
        <w:spacing w:line="360" w:lineRule="auto"/>
      </w:pPr>
      <w:r>
        <w:t xml:space="preserve">Część V – GZ  </w:t>
      </w:r>
      <w:r w:rsidRPr="00370A72">
        <w:t xml:space="preserve">Bolesławiec </w:t>
      </w:r>
    </w:p>
    <w:p w:rsidR="001078BB" w:rsidRDefault="001078BB" w:rsidP="001078BB">
      <w:pPr>
        <w:spacing w:line="360" w:lineRule="auto"/>
        <w:ind w:left="360"/>
      </w:pPr>
    </w:p>
    <w:p w:rsidR="001078BB" w:rsidRPr="006F46F0" w:rsidRDefault="001078BB" w:rsidP="001078B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I. Miejsce świadczenia usługi</w:t>
      </w:r>
    </w:p>
    <w:p w:rsidR="001078BB" w:rsidRDefault="001078BB" w:rsidP="001078BB">
      <w:pPr>
        <w:spacing w:line="360" w:lineRule="auto"/>
      </w:pPr>
      <w:r>
        <w:t>Część I- GZ Żagań</w:t>
      </w:r>
    </w:p>
    <w:p w:rsidR="001078BB" w:rsidRDefault="001078BB" w:rsidP="001078BB">
      <w:pPr>
        <w:spacing w:line="360" w:lineRule="auto"/>
      </w:pPr>
      <w:r>
        <w:t>Część II- GZ Dobre n/Kwisą- Karliki- Pstrąże- Trzebień</w:t>
      </w:r>
    </w:p>
    <w:p w:rsidR="001078BB" w:rsidRDefault="001078BB" w:rsidP="001078BB">
      <w:pPr>
        <w:spacing w:line="360" w:lineRule="auto"/>
      </w:pPr>
      <w:r>
        <w:t>Część III- GZ Świętoszów</w:t>
      </w:r>
    </w:p>
    <w:p w:rsidR="001078BB" w:rsidRDefault="001078BB" w:rsidP="001078BB">
      <w:pPr>
        <w:spacing w:line="360" w:lineRule="auto"/>
      </w:pPr>
      <w:r>
        <w:t>Część IV- GZ Głogów- Widziszów- Serby</w:t>
      </w:r>
    </w:p>
    <w:p w:rsidR="001078BB" w:rsidRDefault="001078BB" w:rsidP="001078BB">
      <w:pPr>
        <w:spacing w:line="360" w:lineRule="auto"/>
      </w:pPr>
      <w:r>
        <w:t>Część V- GZ Bolesławiec- Duninów</w:t>
      </w:r>
    </w:p>
    <w:p w:rsidR="001078BB" w:rsidRDefault="001078BB" w:rsidP="001078BB">
      <w:pPr>
        <w:spacing w:line="360" w:lineRule="auto"/>
      </w:pPr>
    </w:p>
    <w:p w:rsidR="001078BB" w:rsidRPr="00104FDC" w:rsidRDefault="001078BB" w:rsidP="001078BB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II</w:t>
      </w:r>
      <w:r w:rsidRPr="006310C0">
        <w:rPr>
          <w:b/>
        </w:rPr>
        <w:t xml:space="preserve"> </w:t>
      </w:r>
      <w:r>
        <w:rPr>
          <w:b/>
        </w:rPr>
        <w:t xml:space="preserve">. </w:t>
      </w:r>
      <w:r w:rsidRPr="003A3E53">
        <w:rPr>
          <w:b/>
        </w:rPr>
        <w:t>Termin wykonania zamówienia</w:t>
      </w:r>
      <w:r>
        <w:rPr>
          <w:b/>
        </w:rPr>
        <w:t>.</w:t>
      </w:r>
      <w:r w:rsidRPr="003A3E53">
        <w:t xml:space="preserve"> </w:t>
      </w:r>
    </w:p>
    <w:p w:rsidR="001078BB" w:rsidRDefault="001078BB" w:rsidP="001078BB">
      <w:pPr>
        <w:numPr>
          <w:ilvl w:val="0"/>
          <w:numId w:val="6"/>
        </w:numPr>
        <w:tabs>
          <w:tab w:val="left" w:pos="426"/>
          <w:tab w:val="left" w:pos="3969"/>
        </w:tabs>
        <w:autoSpaceDE w:val="0"/>
        <w:autoSpaceDN w:val="0"/>
        <w:adjustRightInd w:val="0"/>
        <w:spacing w:line="360" w:lineRule="auto"/>
        <w:ind w:left="0" w:firstLine="0"/>
        <w:rPr>
          <w:u w:val="single"/>
        </w:rPr>
      </w:pPr>
      <w:r w:rsidRPr="00994D3D">
        <w:t>Część</w:t>
      </w:r>
      <w:r>
        <w:rPr>
          <w:sz w:val="28"/>
        </w:rPr>
        <w:t xml:space="preserve"> I </w:t>
      </w:r>
      <w:r>
        <w:t xml:space="preserve">GZ  </w:t>
      </w:r>
      <w:r w:rsidRPr="00337C3E">
        <w:t>Żagań</w:t>
      </w:r>
      <w:r>
        <w:t xml:space="preserve"> </w:t>
      </w:r>
      <w:r>
        <w:tab/>
        <w:t>od 01.01.202</w:t>
      </w:r>
      <w:r w:rsidR="001F6F95">
        <w:t>5</w:t>
      </w:r>
      <w:r>
        <w:t xml:space="preserve"> r. </w:t>
      </w:r>
      <w:r w:rsidR="00F05EFC">
        <w:t>do 31.12</w:t>
      </w:r>
      <w:r w:rsidR="001F6F95">
        <w:t>.2025r</w:t>
      </w:r>
    </w:p>
    <w:p w:rsidR="001078BB" w:rsidRDefault="001078BB" w:rsidP="001078BB">
      <w:pPr>
        <w:numPr>
          <w:ilvl w:val="0"/>
          <w:numId w:val="6"/>
        </w:numPr>
        <w:tabs>
          <w:tab w:val="left" w:pos="426"/>
          <w:tab w:val="left" w:pos="3969"/>
        </w:tabs>
        <w:autoSpaceDE w:val="0"/>
        <w:autoSpaceDN w:val="0"/>
        <w:adjustRightInd w:val="0"/>
        <w:spacing w:line="360" w:lineRule="auto"/>
        <w:ind w:left="0" w:firstLine="0"/>
      </w:pPr>
      <w:r>
        <w:t xml:space="preserve">Część II GZ Dobre n/Kwisą   </w:t>
      </w:r>
      <w:r>
        <w:tab/>
      </w:r>
      <w:r w:rsidR="00F05EFC">
        <w:t>od 01.01.2025 r. do 31.12</w:t>
      </w:r>
      <w:r w:rsidR="001F6F95">
        <w:t>.2025r</w:t>
      </w:r>
      <w:r>
        <w:tab/>
      </w:r>
    </w:p>
    <w:p w:rsidR="001078BB" w:rsidRDefault="001078BB" w:rsidP="001078BB">
      <w:pPr>
        <w:numPr>
          <w:ilvl w:val="0"/>
          <w:numId w:val="6"/>
        </w:numPr>
        <w:tabs>
          <w:tab w:val="left" w:pos="426"/>
          <w:tab w:val="left" w:pos="3969"/>
        </w:tabs>
        <w:autoSpaceDE w:val="0"/>
        <w:autoSpaceDN w:val="0"/>
        <w:adjustRightInd w:val="0"/>
        <w:spacing w:line="360" w:lineRule="auto"/>
        <w:ind w:left="0" w:firstLine="0"/>
      </w:pPr>
      <w:r>
        <w:t xml:space="preserve">Część III GZ Świętoszów      </w:t>
      </w:r>
      <w:r>
        <w:tab/>
      </w:r>
      <w:r w:rsidR="00F05EFC">
        <w:t>od 01.01.2025 r. do 31.12</w:t>
      </w:r>
      <w:r w:rsidR="001F6F95">
        <w:t>.2025r</w:t>
      </w:r>
    </w:p>
    <w:p w:rsidR="001078BB" w:rsidRPr="0045116E" w:rsidRDefault="001078BB" w:rsidP="001078BB">
      <w:pPr>
        <w:numPr>
          <w:ilvl w:val="0"/>
          <w:numId w:val="6"/>
        </w:numPr>
        <w:tabs>
          <w:tab w:val="left" w:pos="426"/>
          <w:tab w:val="left" w:pos="3969"/>
        </w:tabs>
        <w:autoSpaceDE w:val="0"/>
        <w:autoSpaceDN w:val="0"/>
        <w:adjustRightInd w:val="0"/>
        <w:spacing w:line="360" w:lineRule="auto"/>
        <w:ind w:left="0" w:firstLine="0"/>
      </w:pPr>
      <w:r>
        <w:t xml:space="preserve">Część IV GZ Głogów    </w:t>
      </w:r>
      <w:r>
        <w:tab/>
      </w:r>
      <w:r w:rsidR="00F05EFC">
        <w:t>od 01.01.2025 r. do 31.12</w:t>
      </w:r>
      <w:r w:rsidR="001F6F95">
        <w:t>.2025r</w:t>
      </w:r>
    </w:p>
    <w:p w:rsidR="001078BB" w:rsidRDefault="001078BB" w:rsidP="001078BB">
      <w:pPr>
        <w:numPr>
          <w:ilvl w:val="0"/>
          <w:numId w:val="6"/>
        </w:numPr>
        <w:tabs>
          <w:tab w:val="left" w:pos="426"/>
          <w:tab w:val="left" w:pos="3969"/>
          <w:tab w:val="left" w:pos="6379"/>
        </w:tabs>
        <w:autoSpaceDE w:val="0"/>
        <w:autoSpaceDN w:val="0"/>
        <w:adjustRightInd w:val="0"/>
        <w:spacing w:line="360" w:lineRule="auto"/>
        <w:ind w:left="0" w:firstLine="0"/>
      </w:pPr>
      <w:r w:rsidRPr="0045116E">
        <w:t xml:space="preserve">Część V </w:t>
      </w:r>
      <w:r>
        <w:t>GZ</w:t>
      </w:r>
      <w:r w:rsidRPr="0045116E">
        <w:t xml:space="preserve"> </w:t>
      </w:r>
      <w:r>
        <w:t>Bolesławiec</w:t>
      </w:r>
      <w:r w:rsidRPr="0045116E">
        <w:t xml:space="preserve">       </w:t>
      </w:r>
      <w:r>
        <w:t xml:space="preserve">     </w:t>
      </w:r>
      <w:r>
        <w:tab/>
      </w:r>
      <w:r w:rsidR="00F05EFC">
        <w:t>od 01.01.2025 r. do 31.12</w:t>
      </w:r>
      <w:bookmarkStart w:id="0" w:name="_GoBack"/>
      <w:bookmarkEnd w:id="0"/>
      <w:r w:rsidR="001F6F95">
        <w:t>.2025r</w:t>
      </w:r>
    </w:p>
    <w:p w:rsidR="001078BB" w:rsidRDefault="001078BB" w:rsidP="001078BB">
      <w:pPr>
        <w:tabs>
          <w:tab w:val="left" w:pos="426"/>
          <w:tab w:val="left" w:pos="3969"/>
          <w:tab w:val="left" w:pos="6379"/>
        </w:tabs>
        <w:autoSpaceDE w:val="0"/>
        <w:autoSpaceDN w:val="0"/>
        <w:adjustRightInd w:val="0"/>
        <w:spacing w:line="360" w:lineRule="auto"/>
      </w:pPr>
    </w:p>
    <w:p w:rsidR="001078BB" w:rsidRPr="007A3F83" w:rsidRDefault="001078BB" w:rsidP="001078B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III. Wymagania dotyczące przedmiotu zamówienia.</w:t>
      </w:r>
    </w:p>
    <w:p w:rsidR="001078BB" w:rsidRDefault="001078BB" w:rsidP="001078B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>
        <w:t>Wielkość powierzchni, rodzaj zabiegu i jego częstotliwość określona jest w formularzach cenowych.</w:t>
      </w:r>
    </w:p>
    <w:p w:rsidR="002660F2" w:rsidRDefault="002660F2" w:rsidP="001078B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>
        <w:t>Montaż urządzeń odbywać ma się do 15.01.2025r</w:t>
      </w:r>
    </w:p>
    <w:p w:rsidR="002660F2" w:rsidRDefault="002660F2" w:rsidP="001078B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>
        <w:t>Pierwszy monitoring odbywać ma się od 16.01.2025r do 31.01.2025r. Następny monitoring w każdym kolejnym miesiącu co daje 12 monitoringów w roku dla danej lokalizacji.</w:t>
      </w:r>
    </w:p>
    <w:p w:rsidR="001078BB" w:rsidRDefault="001078BB" w:rsidP="001078B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>
        <w:t>W zakres usługi w obiektach bloków żywieniowych w ramach</w:t>
      </w:r>
      <w:r w:rsidRPr="00442A7F">
        <w:t xml:space="preserve"> </w:t>
      </w:r>
      <w:r>
        <w:t xml:space="preserve">Dobrej Praktyki Higienicznej  </w:t>
      </w:r>
    </w:p>
    <w:p w:rsidR="001078BB" w:rsidRDefault="001078BB" w:rsidP="001078BB">
      <w:pPr>
        <w:tabs>
          <w:tab w:val="left" w:pos="426"/>
        </w:tabs>
        <w:spacing w:line="360" w:lineRule="auto"/>
        <w:jc w:val="both"/>
      </w:pPr>
      <w:r>
        <w:tab/>
        <w:t>(HACCP)  wchodzi :</w:t>
      </w:r>
    </w:p>
    <w:p w:rsidR="001078BB" w:rsidRDefault="001078BB" w:rsidP="001078BB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>
        <w:t>montaż urządzeń monitorujących w wyszczególnionych obiektach w ilości gwarantującej prawidłowe świadczenie usługi na podstawie posiadanej przez użytkowników dokumentacji. Zamontowane przez Wykonawcę urządzenia monitorujące stanowią jego własność i po zakończeniu obowiązywania umowy zostaną przez niego zdemontowane,</w:t>
      </w:r>
    </w:p>
    <w:p w:rsidR="001078BB" w:rsidRDefault="001078BB" w:rsidP="001078BB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>
        <w:t>monitoring aktywności szkodników (poprzez obsługę stacji deratyzacyjnych, detektorów owadów, pułapek ( żywołownych, pułapek feromonowych itp.)</w:t>
      </w:r>
      <w:r w:rsidR="001F6F95">
        <w:t xml:space="preserve">, </w:t>
      </w:r>
      <w:r>
        <w:br/>
        <w:t>z częstotliwością określoną w formularzu cenowym,</w:t>
      </w:r>
    </w:p>
    <w:p w:rsidR="001078BB" w:rsidRDefault="001078BB" w:rsidP="001078BB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>
        <w:t>identyfikacja szkodnika,</w:t>
      </w:r>
      <w:r w:rsidR="001F6F95">
        <w:t xml:space="preserve">                                                                                 </w:t>
      </w:r>
    </w:p>
    <w:p w:rsidR="001078BB" w:rsidRDefault="001078BB" w:rsidP="001078BB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>
        <w:t>zwalczanie szkodnika poprzez zabiegi dezynsekcji i deratyzacji,</w:t>
      </w:r>
      <w:r w:rsidR="001F6F95">
        <w:t xml:space="preserve"> przy czym deratyzacją w przypadku kuny lub łasicy będzie odłowienie szkodnika</w:t>
      </w:r>
    </w:p>
    <w:p w:rsidR="001078BB" w:rsidRDefault="001078BB" w:rsidP="001078BB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>
        <w:t>ocena skuteczności zabiegów i działania korygujące,</w:t>
      </w:r>
    </w:p>
    <w:p w:rsidR="001078BB" w:rsidRDefault="001078BB" w:rsidP="001078BB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>
        <w:t xml:space="preserve">prowadzenie i aktualizacja ( w przypadku braku dokumentacji jej założenie ) </w:t>
      </w:r>
      <w:r>
        <w:br/>
        <w:t xml:space="preserve">dla każdego obiektu oddzielnie dokumentacji monitoringu zagrożeń sanitarnych </w:t>
      </w:r>
      <w:r>
        <w:br/>
      </w:r>
      <w:r>
        <w:lastRenderedPageBreak/>
        <w:t xml:space="preserve">ze strony szkodników, kompletowanie wymaganych certyfikatów atestów zgodnie </w:t>
      </w:r>
      <w:r>
        <w:br/>
        <w:t>z wymogami HACCP,</w:t>
      </w:r>
    </w:p>
    <w:p w:rsidR="001078BB" w:rsidRDefault="001078BB" w:rsidP="001078BB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>
        <w:t>w przypadku stwierdzenia występowania szkodników w wyniku prowadzonego monitoringu, Wykonawca zobowiązany jest zapoznać z wynikami monitoringu kierownika GZ.</w:t>
      </w:r>
    </w:p>
    <w:p w:rsidR="001078BB" w:rsidRDefault="001078BB" w:rsidP="001078BB">
      <w:pPr>
        <w:numPr>
          <w:ilvl w:val="0"/>
          <w:numId w:val="7"/>
        </w:numPr>
        <w:tabs>
          <w:tab w:val="left" w:pos="567"/>
        </w:tabs>
        <w:spacing w:line="360" w:lineRule="auto"/>
        <w:jc w:val="both"/>
      </w:pPr>
      <w:r>
        <w:t xml:space="preserve">wykonanie zabiegów dezynsekcji i deratyzacji, jeżeli wyniknie taka konieczność. </w:t>
      </w:r>
      <w:r>
        <w:br/>
        <w:t>Za wykonane zabiegi, Wykonawcy nie przysługuje dodatkowe wynagrodzenie.</w:t>
      </w:r>
    </w:p>
    <w:p w:rsidR="001078BB" w:rsidRDefault="001078BB" w:rsidP="001078BB">
      <w:pPr>
        <w:spacing w:line="360" w:lineRule="auto"/>
        <w:jc w:val="both"/>
      </w:pPr>
      <w:r>
        <w:t xml:space="preserve"> Dokumentacji, o której mowa w pkt. 2 f. powinna zawierać :</w:t>
      </w:r>
    </w:p>
    <w:p w:rsidR="001078BB" w:rsidRDefault="001078BB" w:rsidP="001078BB">
      <w:pPr>
        <w:spacing w:line="360" w:lineRule="auto"/>
        <w:ind w:left="284" w:hanging="284"/>
        <w:jc w:val="both"/>
      </w:pPr>
      <w:r>
        <w:t>- protokół z audytu wstępnego,(karta przeglądu i zabezpieczenia budynku – raport z inspekcji   wizualnej budynku),</w:t>
      </w:r>
    </w:p>
    <w:p w:rsidR="001078BB" w:rsidRDefault="001078BB" w:rsidP="001078BB">
      <w:pPr>
        <w:spacing w:line="360" w:lineRule="auto"/>
      </w:pPr>
      <w:r>
        <w:t xml:space="preserve">- plan pomieszczeń z naniesionymi miejscami zainstalowania urządzeń służących </w:t>
      </w:r>
      <w:r>
        <w:br/>
        <w:t>do monitorowania aktywności szkodników,</w:t>
      </w:r>
    </w:p>
    <w:p w:rsidR="001078BB" w:rsidRDefault="001078BB" w:rsidP="001078BB">
      <w:pPr>
        <w:spacing w:line="360" w:lineRule="auto"/>
        <w:jc w:val="both"/>
      </w:pPr>
      <w:r>
        <w:t>- harmonogram przeglądów urządzeń służących do monitorowania aktywności szkodników,</w:t>
      </w:r>
    </w:p>
    <w:p w:rsidR="001078BB" w:rsidRDefault="001078BB" w:rsidP="001078BB">
      <w:pPr>
        <w:spacing w:line="360" w:lineRule="auto"/>
        <w:jc w:val="both"/>
      </w:pPr>
      <w:r>
        <w:t>- kartę monitoringu szkodników biegających,</w:t>
      </w:r>
    </w:p>
    <w:p w:rsidR="001078BB" w:rsidRDefault="001078BB" w:rsidP="001078BB">
      <w:pPr>
        <w:spacing w:line="360" w:lineRule="auto"/>
        <w:jc w:val="both"/>
      </w:pPr>
      <w:r>
        <w:t>- kartę monitoringu szkodników latających,</w:t>
      </w:r>
    </w:p>
    <w:p w:rsidR="001078BB" w:rsidRDefault="001078BB" w:rsidP="001078BB">
      <w:pPr>
        <w:spacing w:line="360" w:lineRule="auto"/>
        <w:jc w:val="both"/>
      </w:pPr>
      <w:r>
        <w:t>- kartę monitoringu gryzoni,</w:t>
      </w:r>
    </w:p>
    <w:p w:rsidR="001078BB" w:rsidRDefault="001078BB" w:rsidP="001078BB">
      <w:pPr>
        <w:spacing w:line="360" w:lineRule="auto"/>
        <w:jc w:val="both"/>
      </w:pPr>
      <w:r>
        <w:t>- kartę wykonanych czynności,</w:t>
      </w:r>
    </w:p>
    <w:p w:rsidR="001078BB" w:rsidRDefault="001078BB" w:rsidP="001078BB">
      <w:pPr>
        <w:spacing w:line="360" w:lineRule="auto"/>
        <w:jc w:val="both"/>
      </w:pPr>
      <w:r>
        <w:t>- kartę działań korygujących,</w:t>
      </w:r>
    </w:p>
    <w:p w:rsidR="001078BB" w:rsidRDefault="001078BB" w:rsidP="001078BB">
      <w:pPr>
        <w:spacing w:line="360" w:lineRule="auto"/>
        <w:jc w:val="both"/>
      </w:pPr>
      <w:r>
        <w:t>- wykaz i charakterystyki stosowanych środków chemicznych.</w:t>
      </w:r>
    </w:p>
    <w:p w:rsidR="001078BB" w:rsidRDefault="001078BB" w:rsidP="001078BB">
      <w:pPr>
        <w:spacing w:line="360" w:lineRule="auto"/>
        <w:jc w:val="both"/>
      </w:pPr>
      <w:r>
        <w:t xml:space="preserve">Dokumentacja monitoringu zagrożeń sanitarnych ze strony szkodników winna być zgodna </w:t>
      </w:r>
      <w:r>
        <w:br/>
        <w:t xml:space="preserve">z funkcjonującym w danym obiekcie ogólnym systemem HACCP opracowanym </w:t>
      </w:r>
      <w:r>
        <w:br/>
        <w:t>i zatwierdzonym do użytku przez Kierownika danego obiektu.</w:t>
      </w:r>
    </w:p>
    <w:p w:rsidR="001078BB" w:rsidRDefault="001078BB" w:rsidP="001078BB">
      <w:pPr>
        <w:spacing w:line="360" w:lineRule="auto"/>
        <w:jc w:val="both"/>
      </w:pPr>
      <w:r>
        <w:t>Dokumentacja stanowi własność Zamawiającego.</w:t>
      </w:r>
    </w:p>
    <w:p w:rsidR="001078BB" w:rsidRDefault="001078BB" w:rsidP="00574E8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</w:pPr>
      <w:r>
        <w:t>W obiektach objętych monitoringiem w systemie HACCP zabiegi dezynsekcji</w:t>
      </w:r>
      <w:r w:rsidR="00574E86">
        <w:t xml:space="preserve"> i  deratyzacji </w:t>
      </w:r>
      <w:r>
        <w:t>wykonywane będą tylko w razie konieczności stwierdzonej w wyniku prowadzonego monitoringu.</w:t>
      </w:r>
    </w:p>
    <w:p w:rsidR="001078BB" w:rsidRDefault="001078BB" w:rsidP="003B73DD">
      <w:pPr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</w:pPr>
      <w:r>
        <w:t>Wymiana świetlówek winna być wykonywana w przypadku uszkodzenia lub</w:t>
      </w:r>
      <w:r w:rsidR="003B73DD">
        <w:t xml:space="preserve"> </w:t>
      </w:r>
      <w:r>
        <w:t>niesprawności zamontowanej  uprzednio  świetlówki.</w:t>
      </w:r>
    </w:p>
    <w:p w:rsidR="001078BB" w:rsidRDefault="001078BB" w:rsidP="001078BB">
      <w:pPr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</w:pPr>
      <w:r>
        <w:t>Kompletowanie wymaganych certyfikatów atestów zgodnie z wymogami HACCP.</w:t>
      </w:r>
    </w:p>
    <w:p w:rsidR="001078BB" w:rsidRDefault="001078BB" w:rsidP="001078BB">
      <w:pPr>
        <w:numPr>
          <w:ilvl w:val="0"/>
          <w:numId w:val="3"/>
        </w:numPr>
        <w:tabs>
          <w:tab w:val="left" w:pos="426"/>
        </w:tabs>
        <w:spacing w:line="360" w:lineRule="auto"/>
        <w:ind w:left="426"/>
        <w:jc w:val="both"/>
      </w:pPr>
      <w:r>
        <w:t>W zakresie usługi dezynsekcji i deratyzacji:</w:t>
      </w:r>
    </w:p>
    <w:p w:rsidR="001078BB" w:rsidRDefault="001078BB" w:rsidP="001078BB">
      <w:pPr>
        <w:numPr>
          <w:ilvl w:val="0"/>
          <w:numId w:val="8"/>
        </w:numPr>
        <w:spacing w:line="360" w:lineRule="auto"/>
        <w:jc w:val="both"/>
      </w:pPr>
      <w:r>
        <w:t>Terminy prowadzenia zabiegów profilaktycznych będą określone przez Zamawiającego,   (kierownika właściwej GZ),</w:t>
      </w:r>
    </w:p>
    <w:p w:rsidR="001078BB" w:rsidRDefault="001078BB" w:rsidP="001078BB">
      <w:pPr>
        <w:numPr>
          <w:ilvl w:val="0"/>
          <w:numId w:val="8"/>
        </w:numPr>
        <w:spacing w:line="360" w:lineRule="auto"/>
        <w:jc w:val="both"/>
      </w:pPr>
      <w:r>
        <w:lastRenderedPageBreak/>
        <w:t xml:space="preserve">Zabiegi doraźne będą wykonywane na </w:t>
      </w:r>
      <w:r w:rsidR="00A57ECF">
        <w:t>zgłoszenie przez</w:t>
      </w:r>
      <w:r>
        <w:t xml:space="preserve"> kierownika GZ</w:t>
      </w:r>
      <w:r w:rsidR="00A57ECF">
        <w:t xml:space="preserve"> lub wskazanego przez niego użytkownika </w:t>
      </w:r>
      <w:r>
        <w:t xml:space="preserve"> przesłane faksem, </w:t>
      </w:r>
      <w:r w:rsidR="00A57ECF">
        <w:t>pocztą elektroniczną lub na zgłoszenie telefoniczne.</w:t>
      </w:r>
      <w:r>
        <w:t xml:space="preserve"> </w:t>
      </w:r>
    </w:p>
    <w:p w:rsidR="001078BB" w:rsidRDefault="001078BB" w:rsidP="001078BB">
      <w:pPr>
        <w:numPr>
          <w:ilvl w:val="0"/>
          <w:numId w:val="8"/>
        </w:numPr>
        <w:spacing w:line="360" w:lineRule="auto"/>
        <w:jc w:val="both"/>
      </w:pPr>
      <w:r>
        <w:t xml:space="preserve">Wykonawca otrzyma wynagrodzenie za faktycznie wykonane usługi, </w:t>
      </w:r>
    </w:p>
    <w:p w:rsidR="003B73DD" w:rsidRDefault="001078BB" w:rsidP="00E24185">
      <w:pPr>
        <w:numPr>
          <w:ilvl w:val="0"/>
          <w:numId w:val="8"/>
        </w:numPr>
        <w:spacing w:line="360" w:lineRule="auto"/>
        <w:jc w:val="both"/>
      </w:pPr>
      <w:r>
        <w:t xml:space="preserve">Zabiegi dezynsekcji należy wykonywać dwustopniowo. Termin pierwszego zabiegu </w:t>
      </w:r>
      <w:r>
        <w:br/>
        <w:t>w terminie uzgodnionym z Kierownikiem właściwej GZ</w:t>
      </w:r>
      <w:r w:rsidR="00C54CC6">
        <w:t xml:space="preserve"> nie później niż 48 godzin od zgłoszenia</w:t>
      </w:r>
      <w:r>
        <w:t>, drugi zabieg po upływie czasu uwzględniającego okres rozrodczy danego gatunku insektów, dl</w:t>
      </w:r>
      <w:r w:rsidR="003B73DD">
        <w:t>a których  był wykonany zabieg</w:t>
      </w:r>
    </w:p>
    <w:p w:rsidR="001078BB" w:rsidRDefault="001078BB" w:rsidP="00E24185">
      <w:pPr>
        <w:numPr>
          <w:ilvl w:val="0"/>
          <w:numId w:val="8"/>
        </w:numPr>
        <w:spacing w:line="360" w:lineRule="auto"/>
        <w:jc w:val="both"/>
      </w:pPr>
      <w:r>
        <w:t xml:space="preserve">Liczbę zabiegów dezynsekcji podana w formularzu cenowym należy interpretować: </w:t>
      </w:r>
      <w:r>
        <w:br/>
      </w:r>
      <w:r w:rsidRPr="003B73DD">
        <w:rPr>
          <w:u w:val="single"/>
        </w:rPr>
        <w:t>2 zabiegi = dwa cykle podwójne,</w:t>
      </w:r>
    </w:p>
    <w:p w:rsidR="001078BB" w:rsidRDefault="001078BB" w:rsidP="001078BB">
      <w:pPr>
        <w:numPr>
          <w:ilvl w:val="0"/>
          <w:numId w:val="8"/>
        </w:numPr>
        <w:spacing w:line="360" w:lineRule="auto"/>
        <w:jc w:val="both"/>
      </w:pPr>
      <w:r>
        <w:t>Zabiegi deratyzacji</w:t>
      </w:r>
      <w:r w:rsidR="00A57ECF">
        <w:t>, które obejmują deratyzację myszy, szczurów a także odławianie kun i łasic. Deratyzację mysz</w:t>
      </w:r>
      <w:r w:rsidR="003B73DD">
        <w:t>y</w:t>
      </w:r>
      <w:r w:rsidR="00A57ECF">
        <w:t xml:space="preserve"> i szczurów </w:t>
      </w:r>
      <w:r>
        <w:t>należy wykonywać za pomocą trutki wyłożonej na tacy oznakowanej znakiem i napisem ostrzegawczym z dołączoną informacją o użytym środku, substancji czynnej i antidotum. Wykonawca zapewnia w ramach  usługi der</w:t>
      </w:r>
      <w:r w:rsidR="001F6F95">
        <w:t xml:space="preserve">atyzacji transport </w:t>
      </w:r>
      <w:r>
        <w:t>i utylizacje martwych gryzoni.</w:t>
      </w:r>
      <w:r w:rsidR="00A57ECF">
        <w:t xml:space="preserve"> W przypadku gryzoni-kuna, łasica deratyzacja odbywać będzie się w formie odłowienia za pomocą klatki.</w:t>
      </w:r>
    </w:p>
    <w:p w:rsidR="001078BB" w:rsidRDefault="001078BB" w:rsidP="001078BB">
      <w:pPr>
        <w:numPr>
          <w:ilvl w:val="0"/>
          <w:numId w:val="3"/>
        </w:numPr>
        <w:spacing w:line="360" w:lineRule="auto"/>
        <w:jc w:val="both"/>
      </w:pPr>
      <w:r>
        <w:t xml:space="preserve">W zakresie usługi usuwanie gniazd owadów błonkoskrzydłych – usuwanie gniazd </w:t>
      </w:r>
      <w:r>
        <w:br/>
        <w:t>na telefoniczne zgłoszenie Kierownika GZ w terminie do 24 godz. od otrzymania zgłoszenia.</w:t>
      </w:r>
    </w:p>
    <w:p w:rsidR="001078BB" w:rsidRDefault="001078BB" w:rsidP="001078BB">
      <w:pPr>
        <w:numPr>
          <w:ilvl w:val="0"/>
          <w:numId w:val="3"/>
        </w:numPr>
        <w:spacing w:line="360" w:lineRule="auto"/>
        <w:jc w:val="both"/>
      </w:pPr>
      <w:r>
        <w:t xml:space="preserve">Realizacja usługi odbywać się będzie z wykorzystaniem sił i środków Wykonawcy, </w:t>
      </w:r>
      <w:r>
        <w:br/>
        <w:t xml:space="preserve">na jego koszt i ryzyko w obiektach wyszczególnionych w formularzu cenowym, </w:t>
      </w:r>
      <w:r>
        <w:br/>
        <w:t xml:space="preserve">po wcześniejszym ustaleniu terminu z wyznaczonym przedstawicielem Zamawiającego. </w:t>
      </w:r>
    </w:p>
    <w:p w:rsidR="001078BB" w:rsidRDefault="001078BB" w:rsidP="001078BB">
      <w:pPr>
        <w:numPr>
          <w:ilvl w:val="0"/>
          <w:numId w:val="3"/>
        </w:numPr>
        <w:spacing w:line="360" w:lineRule="auto"/>
        <w:jc w:val="both"/>
      </w:pPr>
      <w:r>
        <w:t>Potwierdzenia wykonania zabiegów dokonywał będzie użytko</w:t>
      </w:r>
      <w:r w:rsidR="003B73DD">
        <w:t>wnik obiektu w miejscu  w</w:t>
      </w:r>
      <w:r>
        <w:t>ykonania usługi w karcie wykonania usługi.(załącznik nr.3 do umowy).</w:t>
      </w:r>
    </w:p>
    <w:p w:rsidR="001078BB" w:rsidRPr="003B73DD" w:rsidRDefault="001078BB" w:rsidP="001078BB">
      <w:pPr>
        <w:numPr>
          <w:ilvl w:val="0"/>
          <w:numId w:val="3"/>
        </w:numPr>
        <w:spacing w:line="360" w:lineRule="auto"/>
        <w:jc w:val="both"/>
      </w:pPr>
      <w:r w:rsidRPr="003B73DD">
        <w:t>Wykonawca dołączy do faktury za wykonanie usługi Kartę wykonania usługi podpisaną przez wykonującego usługę oraz Użytkownika.</w:t>
      </w:r>
    </w:p>
    <w:p w:rsidR="001078BB" w:rsidRDefault="001078BB" w:rsidP="001078BB">
      <w:pPr>
        <w:numPr>
          <w:ilvl w:val="0"/>
          <w:numId w:val="3"/>
        </w:numPr>
        <w:spacing w:line="360" w:lineRule="auto"/>
        <w:jc w:val="both"/>
      </w:pPr>
      <w:r>
        <w:t>Usługa powinna być realizowana zgodnie z normami branżowymi, przestrzeganiem              przepisów ochrony środowiska i bez stwarzania zagrożeń dla zdrowia ludzi.</w:t>
      </w:r>
    </w:p>
    <w:p w:rsidR="001078BB" w:rsidRDefault="001078BB" w:rsidP="001078BB">
      <w:pPr>
        <w:numPr>
          <w:ilvl w:val="0"/>
          <w:numId w:val="3"/>
        </w:numPr>
        <w:spacing w:line="360" w:lineRule="auto"/>
        <w:jc w:val="both"/>
      </w:pPr>
      <w:r>
        <w:t xml:space="preserve">Zastosowane przez Wykonawcę środki powinny posiadać atesty bezpieczeństwa </w:t>
      </w:r>
      <w:r>
        <w:br/>
        <w:t>i dopuszczenia do stosowania. Środki należy stosować zgodnie z deklarowanym przez   producenta przeznaczeniem i sposobem użycia.</w:t>
      </w:r>
    </w:p>
    <w:p w:rsidR="001078BB" w:rsidRDefault="001078BB" w:rsidP="001078BB">
      <w:pPr>
        <w:numPr>
          <w:ilvl w:val="0"/>
          <w:numId w:val="3"/>
        </w:numPr>
        <w:spacing w:line="360" w:lineRule="auto"/>
        <w:jc w:val="both"/>
      </w:pPr>
      <w:r>
        <w:lastRenderedPageBreak/>
        <w:t>Na używane w trakcie realizacji usługi środki Wykonawca przedstawi Zamawiającemu karty charakterystyki, zezwolenia i pozytywne opinie zakładów instytutów naukowo badawczych takich jak PZH.</w:t>
      </w:r>
    </w:p>
    <w:p w:rsidR="001078BB" w:rsidRDefault="001078BB" w:rsidP="001078BB">
      <w:pPr>
        <w:numPr>
          <w:ilvl w:val="0"/>
          <w:numId w:val="3"/>
        </w:numPr>
        <w:spacing w:line="360" w:lineRule="auto"/>
        <w:jc w:val="both"/>
      </w:pPr>
      <w:r>
        <w:t xml:space="preserve">Dostosowanie się do zaleceń Sanepidu i innych instytucji ( wojskowych i cywilnych) </w:t>
      </w:r>
      <w:r>
        <w:br/>
        <w:t xml:space="preserve">w ramach wykonywanej usługi. </w:t>
      </w:r>
    </w:p>
    <w:p w:rsidR="001078BB" w:rsidRPr="0041287F" w:rsidRDefault="001078BB" w:rsidP="001078BB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41287F">
        <w:rPr>
          <w:color w:val="000000"/>
        </w:rPr>
        <w:t xml:space="preserve">W przypadku transportu i utylizacji martwych gryzoni Wykonawca dołączy do faktury </w:t>
      </w:r>
      <w:r w:rsidRPr="00133654">
        <w:rPr>
          <w:color w:val="000000"/>
        </w:rPr>
        <w:t>ksero potwierdzone przez Wykonawcę za zgodność z oryginałem dokumentu handlowego przy przywozie wyłącznie na terytorium RP ubocznych produktów zwierzęcych kat. I zgodnie z Rozporządzeniem ( WE) Parlamentu Europejskiego i Rady Nr 1069/2009 z dnia 21 października 2009 r.</w:t>
      </w:r>
    </w:p>
    <w:p w:rsidR="001078BB" w:rsidRDefault="001078BB" w:rsidP="001078BB">
      <w:pPr>
        <w:numPr>
          <w:ilvl w:val="0"/>
          <w:numId w:val="3"/>
        </w:numPr>
        <w:tabs>
          <w:tab w:val="left" w:pos="426"/>
        </w:tabs>
        <w:spacing w:line="360" w:lineRule="auto"/>
        <w:ind w:left="567" w:hanging="283"/>
        <w:jc w:val="both"/>
      </w:pPr>
      <w:r>
        <w:t>Zamawiający dopuszcza dokonanie zmian w umowie polegających na:</w:t>
      </w:r>
    </w:p>
    <w:p w:rsidR="001078BB" w:rsidRDefault="001078BB" w:rsidP="001078BB">
      <w:pPr>
        <w:tabs>
          <w:tab w:val="left" w:pos="284"/>
          <w:tab w:val="left" w:pos="993"/>
        </w:tabs>
        <w:spacing w:line="360" w:lineRule="auto"/>
        <w:ind w:left="284"/>
        <w:jc w:val="both"/>
      </w:pPr>
      <w:r>
        <w:t>16.1. Zmniejszeniu lub zwiększeniu zakresu umowy w szczególności z powodu :</w:t>
      </w:r>
    </w:p>
    <w:p w:rsidR="001078BB" w:rsidRDefault="001078BB" w:rsidP="001078BB">
      <w:pPr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993"/>
        <w:jc w:val="both"/>
      </w:pPr>
      <w:r>
        <w:t>zmniejszenia lub zwiększenia stanów osobowych jednostek wojskowych, wyjazdu zwartych pododdziałów na misje pokojowe,</w:t>
      </w:r>
    </w:p>
    <w:p w:rsidR="001078BB" w:rsidRDefault="001078BB" w:rsidP="001078BB">
      <w:pPr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993"/>
        <w:jc w:val="both"/>
      </w:pPr>
      <w:r>
        <w:t xml:space="preserve"> przekazania obiektów poza zarząd,</w:t>
      </w:r>
    </w:p>
    <w:p w:rsidR="001078BB" w:rsidRDefault="001078BB" w:rsidP="001078BB">
      <w:pPr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993"/>
        <w:jc w:val="both"/>
      </w:pPr>
      <w:r>
        <w:t>dzierżawy obiektów innym użytkownikom,</w:t>
      </w:r>
    </w:p>
    <w:p w:rsidR="001078BB" w:rsidRDefault="001078BB" w:rsidP="001078BB">
      <w:pPr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993"/>
        <w:jc w:val="both"/>
      </w:pPr>
      <w:r>
        <w:t>wyłączenia z użytkowania pomieszczeń,</w:t>
      </w:r>
    </w:p>
    <w:p w:rsidR="001078BB" w:rsidRDefault="001078BB" w:rsidP="001078BB">
      <w:pPr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993"/>
        <w:jc w:val="both"/>
      </w:pPr>
      <w:r>
        <w:t>zmiany przeznaczenia obiektów,</w:t>
      </w:r>
    </w:p>
    <w:p w:rsidR="001078BB" w:rsidRDefault="001078BB" w:rsidP="001078BB">
      <w:pPr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993"/>
        <w:jc w:val="both"/>
      </w:pPr>
      <w:r>
        <w:t>zmiany stawki podatku VAT dotyczącej usługi określonej w przedmiocie zamówienia z chwilą ogłoszenia tych zmian.</w:t>
      </w:r>
      <w:r w:rsidRPr="00550D9F">
        <w:t xml:space="preserve"> </w:t>
      </w:r>
      <w:r>
        <w:t>Zmiany dotyczące zwiększenia zakresu umowy wymagają dla swej ważności formy pisemnej.</w:t>
      </w:r>
    </w:p>
    <w:p w:rsidR="001078BB" w:rsidRDefault="001078BB" w:rsidP="001078BB">
      <w:pPr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993"/>
        <w:jc w:val="both"/>
      </w:pPr>
      <w:r>
        <w:t>włączenie do użytkowania pomieszczeń i budynków</w:t>
      </w:r>
    </w:p>
    <w:p w:rsidR="001078BB" w:rsidRDefault="001078BB" w:rsidP="001078BB">
      <w:pPr>
        <w:tabs>
          <w:tab w:val="left" w:pos="284"/>
          <w:tab w:val="left" w:pos="851"/>
        </w:tabs>
        <w:spacing w:line="360" w:lineRule="auto"/>
        <w:ind w:left="709" w:hanging="425"/>
        <w:jc w:val="both"/>
      </w:pPr>
      <w:r>
        <w:t>16.2.Zmiany obiektu (wykonanie usługi w obiekcie wskazanym przez przedstawiciela Zamawiającego w zamian za wykonanie usługi w obiekcie objętym OPZ), w którym wykonywana będzie usługa dezynsekcji, deratyzacji na terenie administrowanym przez 43 WOG z uwzględnieniem, powierzchni na której faktycznie została wykonana  usługa. Zmiana ta nie wymaga formy pisemnej.</w:t>
      </w:r>
    </w:p>
    <w:p w:rsidR="001078BB" w:rsidRDefault="001078BB" w:rsidP="001078BB">
      <w:pPr>
        <w:pStyle w:val="Tekstpodstawowy"/>
        <w:suppressAutoHyphens/>
        <w:spacing w:before="120"/>
        <w:jc w:val="both"/>
        <w:rPr>
          <w:b/>
          <w:szCs w:val="24"/>
        </w:rPr>
      </w:pPr>
      <w:r>
        <w:rPr>
          <w:b/>
          <w:szCs w:val="24"/>
        </w:rPr>
        <w:t xml:space="preserve">IV. </w:t>
      </w:r>
      <w:r w:rsidRPr="00A10E3F">
        <w:rPr>
          <w:b/>
          <w:szCs w:val="24"/>
        </w:rPr>
        <w:t>Opis sposobu obliczenia ceny oferty:</w:t>
      </w:r>
    </w:p>
    <w:p w:rsidR="001078BB" w:rsidRPr="00394E2B" w:rsidRDefault="001078BB" w:rsidP="001078BB">
      <w:pPr>
        <w:pStyle w:val="Tekstpodstawowy"/>
        <w:suppressAutoHyphens/>
        <w:spacing w:before="120"/>
        <w:jc w:val="both"/>
      </w:pPr>
    </w:p>
    <w:p w:rsidR="001078BB" w:rsidRDefault="001078BB" w:rsidP="001078BB">
      <w:pPr>
        <w:numPr>
          <w:ilvl w:val="0"/>
          <w:numId w:val="9"/>
        </w:numPr>
        <w:spacing w:line="360" w:lineRule="auto"/>
        <w:jc w:val="both"/>
      </w:pPr>
      <w:r w:rsidRPr="00D36BA0">
        <w:t xml:space="preserve">Cena ma obejmować wszystkie możliwe składniki kosztów leżące po stronie </w:t>
      </w:r>
      <w:r>
        <w:t>W</w:t>
      </w:r>
      <w:r w:rsidRPr="00D36BA0">
        <w:t>ykonawcy tj. koszty dojazdu do miejsca wykonania zamówienia, wykonanie usługi</w:t>
      </w:r>
      <w:r>
        <w:t>,</w:t>
      </w:r>
      <w:r w:rsidRPr="00D36BA0">
        <w:t xml:space="preserve"> </w:t>
      </w:r>
      <w:r>
        <w:t>koszt użytych materiałów, podatek  , koszty wynajęcia podnośnika VAT itp</w:t>
      </w:r>
      <w:r w:rsidRPr="00D36BA0">
        <w:t>.</w:t>
      </w:r>
    </w:p>
    <w:p w:rsidR="001078BB" w:rsidRDefault="001078BB" w:rsidP="001078BB">
      <w:pPr>
        <w:numPr>
          <w:ilvl w:val="0"/>
          <w:numId w:val="9"/>
        </w:numPr>
        <w:spacing w:line="360" w:lineRule="auto"/>
        <w:jc w:val="both"/>
      </w:pPr>
      <w:r>
        <w:lastRenderedPageBreak/>
        <w:t>Przy ustalaniu cen na poszczególne czynności wchodzące w skład usługi należy uwzględnić opis przedmiotu zamówienia wraz z załącznikami ze specjalnymi wymogami dla każdej GZ.</w:t>
      </w:r>
    </w:p>
    <w:p w:rsidR="001078BB" w:rsidRDefault="001078BB" w:rsidP="001078BB">
      <w:pPr>
        <w:numPr>
          <w:ilvl w:val="0"/>
          <w:numId w:val="9"/>
        </w:numPr>
        <w:spacing w:line="360" w:lineRule="auto"/>
        <w:jc w:val="both"/>
      </w:pPr>
      <w:r>
        <w:t xml:space="preserve">Przy ustalaniu ceny deratyzacji, należy przyjąć, że punkt deratyzacyjny to 100 g trutki wyłożone na tacy oznakowanej znakiem i napisem ostrzegawczym z dołączoną informacją o użytym środku, substancji czynnej i antidotum.   </w:t>
      </w:r>
    </w:p>
    <w:p w:rsidR="001078BB" w:rsidRDefault="001078BB" w:rsidP="001078BB">
      <w:pPr>
        <w:numPr>
          <w:ilvl w:val="0"/>
          <w:numId w:val="9"/>
        </w:numPr>
        <w:spacing w:line="360" w:lineRule="auto"/>
        <w:jc w:val="both"/>
      </w:pPr>
      <w:r w:rsidRPr="00D36BA0">
        <w:t xml:space="preserve">Cena oferty musi być podana w </w:t>
      </w:r>
      <w:r>
        <w:t>PLN</w:t>
      </w:r>
      <w:r w:rsidRPr="00D36BA0">
        <w:t xml:space="preserve"> brutto cyfrowo i słownie z wyodrębnieniem podatku VAT naliczon</w:t>
      </w:r>
      <w:r>
        <w:t>ego</w:t>
      </w:r>
      <w:r w:rsidRPr="00D36BA0">
        <w:t xml:space="preserve"> zgodnie z obowiązującymi w terminie składania oferty przepisami. Obowiązkiem składającego ofertę jest </w:t>
      </w:r>
      <w:r>
        <w:t>wypełnić formularz</w:t>
      </w:r>
      <w:r w:rsidRPr="00D36BA0">
        <w:t xml:space="preserve"> cenowy dokonując obliczeń wg zasad uznanych w rachunkowości. </w:t>
      </w:r>
    </w:p>
    <w:p w:rsidR="00DA4F64" w:rsidRPr="00EF43A1" w:rsidRDefault="00DA4F64" w:rsidP="00DA4F64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rFonts w:ascii="Arial" w:hAnsi="Arial" w:cs="Arial"/>
          <w:b w:val="0"/>
          <w:sz w:val="24"/>
        </w:rPr>
      </w:pPr>
    </w:p>
    <w:p w:rsidR="002F50B7" w:rsidRPr="00EF43A1" w:rsidRDefault="002F50B7" w:rsidP="00064DD7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0"/>
        <w:jc w:val="left"/>
        <w:rPr>
          <w:rFonts w:ascii="Arial" w:hAnsi="Arial" w:cs="Arial"/>
          <w:b w:val="0"/>
          <w:sz w:val="20"/>
          <w:szCs w:val="20"/>
        </w:rPr>
      </w:pPr>
    </w:p>
    <w:sectPr w:rsidR="002F50B7" w:rsidRPr="00EF43A1" w:rsidSect="009B1F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972" w:rsidRDefault="00E86972">
      <w:r>
        <w:separator/>
      </w:r>
    </w:p>
  </w:endnote>
  <w:endnote w:type="continuationSeparator" w:id="0">
    <w:p w:rsidR="00E86972" w:rsidRDefault="00E8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B53" w:rsidRDefault="00380F5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6B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6B53" w:rsidRDefault="002B6B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19" w:rsidRPr="00637027" w:rsidRDefault="009B1F19">
    <w:pPr>
      <w:pStyle w:val="Stopka"/>
      <w:pBdr>
        <w:top w:val="thinThickSmallGap" w:sz="24" w:space="1" w:color="622423" w:themeColor="accent2" w:themeShade="7F"/>
      </w:pBdr>
      <w:rPr>
        <w:rFonts w:ascii="Arial" w:hAnsi="Arial" w:cs="Arial"/>
        <w:b/>
        <w:i/>
        <w:sz w:val="22"/>
        <w:szCs w:val="22"/>
      </w:rPr>
    </w:pPr>
    <w:r w:rsidRPr="00637027">
      <w:rPr>
        <w:rFonts w:ascii="Arial" w:hAnsi="Arial" w:cs="Arial"/>
        <w:b/>
        <w:i/>
        <w:sz w:val="22"/>
        <w:szCs w:val="22"/>
      </w:rPr>
      <w:ptab w:relativeTo="margin" w:alignment="right" w:leader="none"/>
    </w:r>
    <w:r w:rsidRPr="00637027">
      <w:rPr>
        <w:rFonts w:ascii="Arial" w:hAnsi="Arial" w:cs="Arial"/>
        <w:b/>
        <w:i/>
        <w:sz w:val="22"/>
        <w:szCs w:val="22"/>
      </w:rPr>
      <w:t xml:space="preserve">Strona </w:t>
    </w:r>
    <w:r w:rsidR="00380F5A" w:rsidRPr="00637027">
      <w:rPr>
        <w:rFonts w:ascii="Arial" w:hAnsi="Arial" w:cs="Arial"/>
        <w:b/>
        <w:i/>
        <w:sz w:val="22"/>
        <w:szCs w:val="22"/>
      </w:rPr>
      <w:fldChar w:fldCharType="begin"/>
    </w:r>
    <w:r w:rsidRPr="00637027">
      <w:rPr>
        <w:rFonts w:ascii="Arial" w:hAnsi="Arial" w:cs="Arial"/>
        <w:b/>
        <w:i/>
        <w:sz w:val="22"/>
        <w:szCs w:val="22"/>
      </w:rPr>
      <w:instrText xml:space="preserve"> PAGE   \* MERGEFORMAT </w:instrText>
    </w:r>
    <w:r w:rsidR="00380F5A" w:rsidRPr="00637027">
      <w:rPr>
        <w:rFonts w:ascii="Arial" w:hAnsi="Arial" w:cs="Arial"/>
        <w:b/>
        <w:i/>
        <w:sz w:val="22"/>
        <w:szCs w:val="22"/>
      </w:rPr>
      <w:fldChar w:fldCharType="separate"/>
    </w:r>
    <w:r w:rsidR="00692F88">
      <w:rPr>
        <w:rFonts w:ascii="Arial" w:hAnsi="Arial" w:cs="Arial"/>
        <w:b/>
        <w:i/>
        <w:noProof/>
        <w:sz w:val="22"/>
        <w:szCs w:val="22"/>
      </w:rPr>
      <w:t>2</w:t>
    </w:r>
    <w:r w:rsidR="00380F5A" w:rsidRPr="00637027">
      <w:rPr>
        <w:rFonts w:ascii="Arial" w:hAnsi="Arial" w:cs="Arial"/>
        <w:b/>
        <w:i/>
        <w:sz w:val="22"/>
        <w:szCs w:val="22"/>
      </w:rPr>
      <w:fldChar w:fldCharType="end"/>
    </w:r>
  </w:p>
  <w:p w:rsidR="002B6B53" w:rsidRPr="00637027" w:rsidRDefault="002B6B53" w:rsidP="00036DA0">
    <w:pPr>
      <w:pStyle w:val="Stopka"/>
      <w:ind w:left="5664" w:right="360" w:hanging="5124"/>
      <w:jc w:val="center"/>
      <w:rPr>
        <w:rFonts w:ascii="Arial" w:hAnsi="Arial" w:cs="Arial"/>
        <w:b/>
        <w:i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B80" w:rsidRDefault="00DB0B80">
    <w:pPr>
      <w:pStyle w:val="Stopka"/>
      <w:jc w:val="center"/>
    </w:pPr>
    <w:r w:rsidRPr="00DB0B80">
      <w:t xml:space="preserve">Strona </w:t>
    </w:r>
    <w:r w:rsidR="00380F5A" w:rsidRPr="00DB0B80">
      <w:rPr>
        <w:b/>
      </w:rPr>
      <w:fldChar w:fldCharType="begin"/>
    </w:r>
    <w:r w:rsidRPr="00DB0B80">
      <w:rPr>
        <w:b/>
      </w:rPr>
      <w:instrText>PAGE</w:instrText>
    </w:r>
    <w:r w:rsidR="00380F5A" w:rsidRPr="00DB0B80">
      <w:rPr>
        <w:b/>
      </w:rPr>
      <w:fldChar w:fldCharType="separate"/>
    </w:r>
    <w:r w:rsidR="009B1F19">
      <w:rPr>
        <w:b/>
        <w:noProof/>
      </w:rPr>
      <w:t>1</w:t>
    </w:r>
    <w:r w:rsidR="00380F5A" w:rsidRPr="00DB0B80">
      <w:rPr>
        <w:b/>
      </w:rPr>
      <w:fldChar w:fldCharType="end"/>
    </w:r>
    <w:r w:rsidRPr="00DB0B80">
      <w:t xml:space="preserve"> z </w:t>
    </w:r>
    <w:r w:rsidR="00380F5A" w:rsidRPr="00DB0B80">
      <w:rPr>
        <w:b/>
      </w:rPr>
      <w:fldChar w:fldCharType="begin"/>
    </w:r>
    <w:r w:rsidRPr="00DB0B80">
      <w:rPr>
        <w:b/>
      </w:rPr>
      <w:instrText>NUMPAGES</w:instrText>
    </w:r>
    <w:r w:rsidR="00380F5A" w:rsidRPr="00DB0B80">
      <w:rPr>
        <w:b/>
      </w:rPr>
      <w:fldChar w:fldCharType="separate"/>
    </w:r>
    <w:r w:rsidR="007C18F7">
      <w:rPr>
        <w:b/>
        <w:noProof/>
      </w:rPr>
      <w:t>6</w:t>
    </w:r>
    <w:r w:rsidR="00380F5A" w:rsidRPr="00DB0B80">
      <w:rPr>
        <w:b/>
      </w:rPr>
      <w:fldChar w:fldCharType="end"/>
    </w:r>
  </w:p>
  <w:p w:rsidR="002B6B53" w:rsidRPr="00DB0B80" w:rsidRDefault="002B6B53" w:rsidP="00DB0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972" w:rsidRDefault="00E86972">
      <w:r>
        <w:separator/>
      </w:r>
    </w:p>
  </w:footnote>
  <w:footnote w:type="continuationSeparator" w:id="0">
    <w:p w:rsidR="00E86972" w:rsidRDefault="00E86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19" w:rsidRPr="006B25AC" w:rsidRDefault="001C1878" w:rsidP="009B1F19">
    <w:pPr>
      <w:jc w:val="right"/>
      <w:rPr>
        <w:rFonts w:ascii="Arial" w:hAnsi="Arial" w:cs="Arial"/>
        <w:b/>
        <w:i/>
      </w:rPr>
    </w:pPr>
    <w:r w:rsidRPr="001C1878">
      <w:rPr>
        <w:rFonts w:ascii="Arial" w:hAnsi="Arial" w:cs="Arial"/>
        <w:b/>
        <w:bCs/>
        <w:i/>
      </w:rPr>
      <w:t>Załącznik nr</w:t>
    </w:r>
    <w:r>
      <w:rPr>
        <w:rFonts w:ascii="Arial" w:hAnsi="Arial" w:cs="Arial"/>
        <w:b/>
        <w:i/>
      </w:rPr>
      <w:t xml:space="preserve"> </w:t>
    </w:r>
    <w:r w:rsidR="00DD1276">
      <w:rPr>
        <w:rFonts w:ascii="Arial" w:hAnsi="Arial" w:cs="Arial"/>
        <w:b/>
        <w:i/>
      </w:rPr>
      <w:t>2</w:t>
    </w:r>
    <w:r w:rsidR="009B1F19" w:rsidRPr="006B25AC">
      <w:rPr>
        <w:rFonts w:ascii="Arial" w:hAnsi="Arial" w:cs="Arial"/>
        <w:b/>
        <w:i/>
      </w:rPr>
      <w:t xml:space="preserve"> </w:t>
    </w:r>
  </w:p>
  <w:p w:rsidR="00DA4F64" w:rsidRPr="006B25AC" w:rsidRDefault="00DA4F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DD7" w:rsidRPr="00DA4F64" w:rsidRDefault="00DA4F64" w:rsidP="00DA4F64">
    <w:pPr>
      <w:jc w:val="right"/>
      <w:rPr>
        <w:rFonts w:ascii="Arial" w:hAnsi="Arial" w:cs="Arial"/>
        <w:b/>
        <w:i/>
        <w:color w:val="0033CC"/>
        <w:sz w:val="26"/>
        <w:szCs w:val="26"/>
      </w:rPr>
    </w:pPr>
    <w:r w:rsidRPr="00DA4F64">
      <w:rPr>
        <w:rFonts w:ascii="Arial" w:hAnsi="Arial" w:cs="Arial"/>
        <w:b/>
        <w:i/>
        <w:color w:val="0000FF"/>
        <w:sz w:val="26"/>
        <w:szCs w:val="26"/>
      </w:rPr>
      <w:t>P - 3</w:t>
    </w:r>
    <w:r w:rsidR="00DB0B80" w:rsidRPr="00DA4F64">
      <w:rPr>
        <w:rFonts w:ascii="Arial" w:hAnsi="Arial" w:cs="Arial"/>
        <w:b/>
        <w:i/>
        <w:color w:val="0033CC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1053"/>
    <w:multiLevelType w:val="hybridMultilevel"/>
    <w:tmpl w:val="ECECC010"/>
    <w:lvl w:ilvl="0" w:tplc="DA9EA2A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7AD6"/>
    <w:multiLevelType w:val="hybridMultilevel"/>
    <w:tmpl w:val="8182E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B3975"/>
    <w:multiLevelType w:val="hybridMultilevel"/>
    <w:tmpl w:val="286AB4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A053ECC"/>
    <w:multiLevelType w:val="hybridMultilevel"/>
    <w:tmpl w:val="60285E7A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F92830"/>
    <w:multiLevelType w:val="hybridMultilevel"/>
    <w:tmpl w:val="0A6ACDB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DAB166F"/>
    <w:multiLevelType w:val="hybridMultilevel"/>
    <w:tmpl w:val="8F0A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A1849"/>
    <w:multiLevelType w:val="hybridMultilevel"/>
    <w:tmpl w:val="CCF441FC"/>
    <w:lvl w:ilvl="0" w:tplc="BB345A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0AB"/>
    <w:rsid w:val="00001FAA"/>
    <w:rsid w:val="000325F4"/>
    <w:rsid w:val="00036DA0"/>
    <w:rsid w:val="0004134D"/>
    <w:rsid w:val="00064DD7"/>
    <w:rsid w:val="0007347A"/>
    <w:rsid w:val="000827A7"/>
    <w:rsid w:val="000A1D5F"/>
    <w:rsid w:val="000B0522"/>
    <w:rsid w:val="001078BB"/>
    <w:rsid w:val="00124180"/>
    <w:rsid w:val="001613F5"/>
    <w:rsid w:val="00184603"/>
    <w:rsid w:val="001C1878"/>
    <w:rsid w:val="001C42BC"/>
    <w:rsid w:val="001D6177"/>
    <w:rsid w:val="001F56B9"/>
    <w:rsid w:val="001F6F95"/>
    <w:rsid w:val="00212429"/>
    <w:rsid w:val="002400AB"/>
    <w:rsid w:val="00241A76"/>
    <w:rsid w:val="002545A1"/>
    <w:rsid w:val="002660F2"/>
    <w:rsid w:val="00297D1F"/>
    <w:rsid w:val="002B6B53"/>
    <w:rsid w:val="002C0814"/>
    <w:rsid w:val="002F50B7"/>
    <w:rsid w:val="003030A5"/>
    <w:rsid w:val="003055B1"/>
    <w:rsid w:val="00322A92"/>
    <w:rsid w:val="003456FD"/>
    <w:rsid w:val="003465AC"/>
    <w:rsid w:val="003775C4"/>
    <w:rsid w:val="00380F5A"/>
    <w:rsid w:val="0039467C"/>
    <w:rsid w:val="003B73DD"/>
    <w:rsid w:val="003E6F2F"/>
    <w:rsid w:val="003F5FF9"/>
    <w:rsid w:val="0049465C"/>
    <w:rsid w:val="004A771B"/>
    <w:rsid w:val="004B3DCB"/>
    <w:rsid w:val="004E2F0C"/>
    <w:rsid w:val="00522A0C"/>
    <w:rsid w:val="00551030"/>
    <w:rsid w:val="00574E86"/>
    <w:rsid w:val="005D7456"/>
    <w:rsid w:val="005E021C"/>
    <w:rsid w:val="005F52FF"/>
    <w:rsid w:val="00623463"/>
    <w:rsid w:val="00637027"/>
    <w:rsid w:val="006410E2"/>
    <w:rsid w:val="00692F88"/>
    <w:rsid w:val="006B25AC"/>
    <w:rsid w:val="006B6870"/>
    <w:rsid w:val="006E4B88"/>
    <w:rsid w:val="006F0785"/>
    <w:rsid w:val="007042A3"/>
    <w:rsid w:val="007128BB"/>
    <w:rsid w:val="00724E34"/>
    <w:rsid w:val="00746D7A"/>
    <w:rsid w:val="007807CD"/>
    <w:rsid w:val="007B1F09"/>
    <w:rsid w:val="007C18F7"/>
    <w:rsid w:val="007F1B9A"/>
    <w:rsid w:val="00810C9E"/>
    <w:rsid w:val="00817766"/>
    <w:rsid w:val="00830059"/>
    <w:rsid w:val="00875465"/>
    <w:rsid w:val="008A0EC8"/>
    <w:rsid w:val="008B143C"/>
    <w:rsid w:val="008D2EC7"/>
    <w:rsid w:val="009434A0"/>
    <w:rsid w:val="00985691"/>
    <w:rsid w:val="00997575"/>
    <w:rsid w:val="009B1483"/>
    <w:rsid w:val="009B1F19"/>
    <w:rsid w:val="009B6CBD"/>
    <w:rsid w:val="009F0472"/>
    <w:rsid w:val="00A27530"/>
    <w:rsid w:val="00A57ECF"/>
    <w:rsid w:val="00A61454"/>
    <w:rsid w:val="00A67522"/>
    <w:rsid w:val="00AE4B30"/>
    <w:rsid w:val="00B231D4"/>
    <w:rsid w:val="00B26723"/>
    <w:rsid w:val="00B27FC4"/>
    <w:rsid w:val="00B36A73"/>
    <w:rsid w:val="00B47577"/>
    <w:rsid w:val="00C148E4"/>
    <w:rsid w:val="00C2376C"/>
    <w:rsid w:val="00C26109"/>
    <w:rsid w:val="00C309CB"/>
    <w:rsid w:val="00C40E6A"/>
    <w:rsid w:val="00C54CC6"/>
    <w:rsid w:val="00CC5EAD"/>
    <w:rsid w:val="00CE036B"/>
    <w:rsid w:val="00D339B3"/>
    <w:rsid w:val="00D52711"/>
    <w:rsid w:val="00D52D7E"/>
    <w:rsid w:val="00D62F05"/>
    <w:rsid w:val="00D869DD"/>
    <w:rsid w:val="00D97362"/>
    <w:rsid w:val="00DA4F64"/>
    <w:rsid w:val="00DA76BE"/>
    <w:rsid w:val="00DB0B80"/>
    <w:rsid w:val="00DD1276"/>
    <w:rsid w:val="00DD5B50"/>
    <w:rsid w:val="00DE4D9F"/>
    <w:rsid w:val="00DF57FC"/>
    <w:rsid w:val="00E11B2C"/>
    <w:rsid w:val="00E3125E"/>
    <w:rsid w:val="00E86972"/>
    <w:rsid w:val="00E90E17"/>
    <w:rsid w:val="00ED1E7D"/>
    <w:rsid w:val="00EF43A1"/>
    <w:rsid w:val="00F05EFC"/>
    <w:rsid w:val="00F736A2"/>
    <w:rsid w:val="00F96B22"/>
    <w:rsid w:val="00FA5E13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350B8DC"/>
  <w15:docId w15:val="{DDE5872E-0B69-4A89-B29B-A6C1148E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F0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2F0C"/>
    <w:pPr>
      <w:keepNext/>
      <w:numPr>
        <w:numId w:val="2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4E2F0C"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4E2F0C"/>
    <w:pPr>
      <w:keepNext/>
      <w:numPr>
        <w:ilvl w:val="2"/>
        <w:numId w:val="2"/>
      </w:numPr>
      <w:tabs>
        <w:tab w:val="left" w:pos="993"/>
      </w:tabs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4E2F0C"/>
    <w:pPr>
      <w:keepNext/>
      <w:numPr>
        <w:ilvl w:val="3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E2F0C"/>
    <w:pPr>
      <w:keepNext/>
      <w:numPr>
        <w:ilvl w:val="4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4E2F0C"/>
    <w:pPr>
      <w:keepNext/>
      <w:numPr>
        <w:ilvl w:val="5"/>
        <w:numId w:val="2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4E2F0C"/>
    <w:pPr>
      <w:keepNext/>
      <w:numPr>
        <w:ilvl w:val="6"/>
        <w:numId w:val="2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rsid w:val="004E2F0C"/>
    <w:pPr>
      <w:keepNext/>
      <w:numPr>
        <w:ilvl w:val="7"/>
        <w:numId w:val="2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rsid w:val="004E2F0C"/>
    <w:pPr>
      <w:keepNext/>
      <w:numPr>
        <w:ilvl w:val="8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2F0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4E2F0C"/>
    <w:rPr>
      <w:b/>
      <w:szCs w:val="20"/>
    </w:rPr>
  </w:style>
  <w:style w:type="paragraph" w:styleId="Tekstpodstawowywcity">
    <w:name w:val="Body Text Indent"/>
    <w:basedOn w:val="Normalny"/>
    <w:rsid w:val="004E2F0C"/>
    <w:pPr>
      <w:ind w:left="284" w:hanging="284"/>
    </w:pPr>
  </w:style>
  <w:style w:type="paragraph" w:styleId="Tekstpodstawowy">
    <w:name w:val="Body Text"/>
    <w:basedOn w:val="Normalny"/>
    <w:rsid w:val="004E2F0C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  <w:rsid w:val="004E2F0C"/>
  </w:style>
  <w:style w:type="paragraph" w:styleId="Tytu">
    <w:name w:val="Title"/>
    <w:basedOn w:val="Normalny"/>
    <w:qFormat/>
    <w:rsid w:val="004E2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rsid w:val="004E2F0C"/>
    <w:pPr>
      <w:spacing w:before="60" w:after="60"/>
      <w:ind w:left="851" w:hanging="295"/>
      <w:jc w:val="both"/>
    </w:pPr>
  </w:style>
  <w:style w:type="paragraph" w:customStyle="1" w:styleId="ust">
    <w:name w:val="ust"/>
    <w:rsid w:val="004E2F0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4E2F0C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rsid w:val="004E2F0C"/>
    <w:rPr>
      <w:color w:val="000000"/>
      <w:u w:val="single"/>
    </w:rPr>
  </w:style>
  <w:style w:type="paragraph" w:styleId="Tekstpodstawowywcity2">
    <w:name w:val="Body Text Indent 2"/>
    <w:basedOn w:val="Normalny"/>
    <w:rsid w:val="004E2F0C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rsid w:val="004E2F0C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rsid w:val="004E2F0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4E2F0C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rsid w:val="004E2F0C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E2F0C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4E2F0C"/>
    <w:rPr>
      <w:color w:val="800080"/>
      <w:u w:val="single"/>
    </w:rPr>
  </w:style>
  <w:style w:type="paragraph" w:customStyle="1" w:styleId="Nagwek10">
    <w:name w:val="Nagłówek1"/>
    <w:basedOn w:val="Normalny"/>
    <w:rsid w:val="004E2F0C"/>
    <w:pPr>
      <w:keepNext/>
      <w:keepLines/>
      <w:numPr>
        <w:numId w:val="1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E2F0C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4E2F0C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sid w:val="004E2F0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E2F0C"/>
    <w:rPr>
      <w:vertAlign w:val="superscript"/>
    </w:rPr>
  </w:style>
  <w:style w:type="paragraph" w:styleId="Tekstpodstawowy2">
    <w:name w:val="Body Text 2"/>
    <w:basedOn w:val="Normalny"/>
    <w:rsid w:val="004E2F0C"/>
    <w:pPr>
      <w:spacing w:after="120" w:line="480" w:lineRule="auto"/>
    </w:pPr>
  </w:style>
  <w:style w:type="paragraph" w:styleId="Tekstdymka">
    <w:name w:val="Balloon Text"/>
    <w:basedOn w:val="Normalny"/>
    <w:semiHidden/>
    <w:rsid w:val="004B3D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64D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760930-F412-4142-8836-AA5875CB17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1357</Words>
  <Characters>8147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creator>SzefSz</dc:creator>
  <cp:lastModifiedBy>Nowaczyk Barbara</cp:lastModifiedBy>
  <cp:revision>20</cp:revision>
  <cp:lastPrinted>2024-08-19T10:36:00Z</cp:lastPrinted>
  <dcterms:created xsi:type="dcterms:W3CDTF">2015-12-17T14:00:00Z</dcterms:created>
  <dcterms:modified xsi:type="dcterms:W3CDTF">2024-09-09T05:27:00Z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01d27c48-7304-4e98-a67d-76c14275a79f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SzefSz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10.68.115.58</vt:lpwstr>
  </property>
  <property fmtid="{D5CDD505-2E9C-101B-9397-08002B2CF9AE}" pid="9" name="bjClsUserRVM">
    <vt:lpwstr>[]</vt:lpwstr>
  </property>
  <property fmtid="{D5CDD505-2E9C-101B-9397-08002B2CF9AE}" pid="10" name="bjSaver">
    <vt:lpwstr>Nvgvsff0XKVSLOAcbaLyULmrBrRVdi5z</vt:lpwstr>
  </property>
  <property fmtid="{D5CDD505-2E9C-101B-9397-08002B2CF9AE}" pid="11" name="bjPortionMark">
    <vt:lpwstr>[]</vt:lpwstr>
  </property>
</Properties>
</file>