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0B" w:rsidRDefault="007D380B" w:rsidP="00CA735F">
      <w:pPr>
        <w:jc w:val="both"/>
      </w:pPr>
      <w:r>
        <w:t>Szanowni Państwo</w:t>
      </w:r>
      <w:r w:rsidR="00AF6F1C">
        <w:t>,</w:t>
      </w:r>
    </w:p>
    <w:p w:rsidR="00CA735F" w:rsidRDefault="00CA735F" w:rsidP="00CA735F">
      <w:pPr>
        <w:jc w:val="both"/>
      </w:pPr>
    </w:p>
    <w:p w:rsidR="007D380B" w:rsidRDefault="007D380B" w:rsidP="00CA735F">
      <w:pPr>
        <w:jc w:val="both"/>
      </w:pPr>
      <w:r>
        <w:t xml:space="preserve">w związku z przygotowywanym postępowaniem przetargowym, Urząd Dozoru Technicznego z siedzibą w Warszawie przy ul. Szczęśliwickiej 34 w celu określenia szacunkowej wartości zamówienia, zwraca się z </w:t>
      </w:r>
      <w:r w:rsidR="00CA735F">
        <w:t xml:space="preserve">uprzejmą </w:t>
      </w:r>
      <w:r>
        <w:t>prośbą o przedłożenie ws</w:t>
      </w:r>
      <w:r w:rsidR="00AF6F1C">
        <w:t>tępnej oferty cenowej na</w:t>
      </w:r>
      <w:r>
        <w:t xml:space="preserve"> </w:t>
      </w:r>
      <w:r w:rsidR="00AF6F1C">
        <w:t xml:space="preserve">świadczenie usługi </w:t>
      </w:r>
      <w:r>
        <w:t xml:space="preserve">długoterminowego </w:t>
      </w:r>
      <w:r w:rsidR="00AF6F1C">
        <w:t xml:space="preserve">najmu </w:t>
      </w:r>
      <w:r>
        <w:t>sa</w:t>
      </w:r>
      <w:r w:rsidR="00350C68">
        <w:t>mochodów opisanych w załączonych</w:t>
      </w:r>
      <w:r>
        <w:t xml:space="preserve"> plikach, tj.: </w:t>
      </w:r>
    </w:p>
    <w:p w:rsidR="007D380B" w:rsidRDefault="007D380B" w:rsidP="00CA735F">
      <w:pPr>
        <w:jc w:val="both"/>
      </w:pPr>
    </w:p>
    <w:p w:rsidR="007D380B" w:rsidRDefault="009C2E98" w:rsidP="00CA735F">
      <w:pPr>
        <w:pStyle w:val="Akapitzlist"/>
        <w:numPr>
          <w:ilvl w:val="0"/>
          <w:numId w:val="1"/>
        </w:numPr>
        <w:jc w:val="both"/>
      </w:pPr>
      <w:r>
        <w:t>6</w:t>
      </w:r>
      <w:r w:rsidR="00A97D05">
        <w:t>0</w:t>
      </w:r>
      <w:r w:rsidR="007D380B">
        <w:t xml:space="preserve"> szt. sam. osobowych zgodnie z załącznikiem nr 1 do umowy – </w:t>
      </w:r>
      <w:r w:rsidR="00A97D05">
        <w:t>limit 90</w:t>
      </w:r>
      <w:r w:rsidR="007D380B" w:rsidRPr="00606A81">
        <w:t>.000km;</w:t>
      </w:r>
    </w:p>
    <w:p w:rsidR="007D380B" w:rsidRDefault="007D380B" w:rsidP="00CA735F">
      <w:pPr>
        <w:jc w:val="both"/>
      </w:pPr>
    </w:p>
    <w:p w:rsidR="007D380B" w:rsidRDefault="00C56A0D" w:rsidP="00CA735F">
      <w:pPr>
        <w:jc w:val="both"/>
      </w:pPr>
      <w:r>
        <w:t>Główne</w:t>
      </w:r>
      <w:r w:rsidR="00350C68">
        <w:t xml:space="preserve"> wymagania</w:t>
      </w:r>
      <w:r w:rsidR="007D380B">
        <w:t xml:space="preserve"> dotyczące </w:t>
      </w:r>
      <w:r>
        <w:t>realizacji przedmiotu zamówienia</w:t>
      </w:r>
      <w:r w:rsidR="007D380B">
        <w:t>/ warunki określone w umowie oraz SIWZ:</w:t>
      </w:r>
    </w:p>
    <w:p w:rsidR="007D380B" w:rsidRDefault="00C56A0D" w:rsidP="00CA735F">
      <w:pPr>
        <w:pStyle w:val="Akapitzlist"/>
        <w:numPr>
          <w:ilvl w:val="0"/>
          <w:numId w:val="2"/>
        </w:numPr>
        <w:jc w:val="both"/>
      </w:pPr>
      <w:r>
        <w:t>Umowa na czas określony</w:t>
      </w:r>
      <w:r w:rsidR="00202541">
        <w:t>,</w:t>
      </w:r>
      <w:r w:rsidR="008472AB">
        <w:t xml:space="preserve"> tj. </w:t>
      </w:r>
      <w:r w:rsidR="009C2E98">
        <w:t>36</w:t>
      </w:r>
      <w:r w:rsidR="005673AD">
        <w:t xml:space="preserve"> miesięcy</w:t>
      </w:r>
      <w:r>
        <w:t xml:space="preserve"> od daty dostarczenia samochodów</w:t>
      </w:r>
      <w:r w:rsidR="00202541">
        <w:t xml:space="preserve"> do ok. 30 miejscowości na terenie całego kraju</w:t>
      </w:r>
      <w:r w:rsidR="00CA735F">
        <w:t>;</w:t>
      </w:r>
    </w:p>
    <w:p w:rsidR="007D380B" w:rsidRDefault="00156D2A" w:rsidP="00CA735F">
      <w:pPr>
        <w:pStyle w:val="Akapitzlist"/>
        <w:numPr>
          <w:ilvl w:val="0"/>
          <w:numId w:val="2"/>
        </w:numPr>
        <w:jc w:val="both"/>
      </w:pPr>
      <w:r>
        <w:t>Pełna obsługa</w:t>
      </w:r>
      <w:r w:rsidR="007D380B">
        <w:t xml:space="preserve"> serwisowa </w:t>
      </w:r>
      <w:r w:rsidR="00C56A0D">
        <w:t xml:space="preserve">bez dodatkowych opłat </w:t>
      </w:r>
      <w:r w:rsidR="007D380B">
        <w:t>(naprawy + przeglądy);</w:t>
      </w:r>
    </w:p>
    <w:p w:rsidR="007D380B" w:rsidRDefault="00606A81" w:rsidP="00CA735F">
      <w:pPr>
        <w:pStyle w:val="Akapitzlist"/>
        <w:numPr>
          <w:ilvl w:val="0"/>
          <w:numId w:val="2"/>
        </w:numPr>
        <w:jc w:val="both"/>
      </w:pPr>
      <w:r>
        <w:t xml:space="preserve">Ubezpieczenie OC, AC, NNW </w:t>
      </w:r>
      <w:r w:rsidR="00156D2A">
        <w:t xml:space="preserve">i ASS </w:t>
      </w:r>
      <w:r>
        <w:t>oraz</w:t>
      </w:r>
      <w:r w:rsidR="007D380B">
        <w:t xml:space="preserve"> zarządzanie szkodami</w:t>
      </w:r>
      <w:r w:rsidR="00C56A0D">
        <w:t xml:space="preserve"> (likwidacja szkód bez udziału własnego)</w:t>
      </w:r>
      <w:r w:rsidR="007D380B">
        <w:t>;</w:t>
      </w:r>
    </w:p>
    <w:p w:rsidR="00C73B74" w:rsidRDefault="009446B9" w:rsidP="009446B9">
      <w:pPr>
        <w:pStyle w:val="Akapitzlist"/>
        <w:numPr>
          <w:ilvl w:val="0"/>
          <w:numId w:val="2"/>
        </w:numPr>
        <w:jc w:val="both"/>
      </w:pPr>
      <w:r w:rsidRPr="009446B9">
        <w:rPr>
          <w:rFonts w:cs="Tahoma"/>
          <w:color w:val="000000"/>
          <w:lang w:eastAsia="pl-PL"/>
        </w:rPr>
        <w:t>Możliwość poruszania się samochodem</w:t>
      </w:r>
      <w:r>
        <w:rPr>
          <w:rFonts w:cs="Tahoma"/>
          <w:color w:val="000000"/>
          <w:lang w:eastAsia="pl-PL"/>
        </w:rPr>
        <w:t xml:space="preserve"> poza granicami kraju;</w:t>
      </w:r>
    </w:p>
    <w:p w:rsidR="007D380B" w:rsidRDefault="007D380B" w:rsidP="00CA735F">
      <w:pPr>
        <w:pStyle w:val="Akapitzlist"/>
        <w:numPr>
          <w:ilvl w:val="0"/>
          <w:numId w:val="2"/>
        </w:numPr>
        <w:jc w:val="both"/>
      </w:pPr>
      <w:r>
        <w:t>Brak opłaty wstępnej</w:t>
      </w:r>
      <w:r w:rsidR="009446B9">
        <w:t>/ kaucji oraz dodatkowych opłat po zakończeniu umowy, za wyjątkiem rozliczenia przebiegu</w:t>
      </w:r>
      <w:r>
        <w:t>;</w:t>
      </w:r>
    </w:p>
    <w:p w:rsidR="007D380B" w:rsidRDefault="007D380B" w:rsidP="00CA735F">
      <w:pPr>
        <w:pStyle w:val="Akapitzlist"/>
        <w:numPr>
          <w:ilvl w:val="0"/>
          <w:numId w:val="2"/>
        </w:numPr>
        <w:jc w:val="both"/>
      </w:pPr>
      <w:r>
        <w:t xml:space="preserve">Opony letnie i zimowe </w:t>
      </w:r>
      <w:r w:rsidR="00156D2A">
        <w:t xml:space="preserve">wraz </w:t>
      </w:r>
      <w:r>
        <w:t>z wymianą i przechowaniem;</w:t>
      </w:r>
    </w:p>
    <w:p w:rsidR="007D380B" w:rsidRDefault="007D380B" w:rsidP="00CA735F">
      <w:pPr>
        <w:pStyle w:val="Akapitzlist"/>
        <w:numPr>
          <w:ilvl w:val="0"/>
          <w:numId w:val="2"/>
        </w:numPr>
        <w:jc w:val="both"/>
      </w:pPr>
      <w:r>
        <w:t>Assistance bez limitu k</w:t>
      </w:r>
      <w:r w:rsidR="00156D2A">
        <w:t>ilo</w:t>
      </w:r>
      <w:r>
        <w:t>m</w:t>
      </w:r>
      <w:r w:rsidR="00156D2A">
        <w:t>etrów</w:t>
      </w:r>
      <w:r w:rsidR="009C2E98">
        <w:t xml:space="preserve"> na terenie EU</w:t>
      </w:r>
      <w:r>
        <w:t xml:space="preserve"> z samochodem zastępczym </w:t>
      </w:r>
      <w:r w:rsidR="00C56A0D">
        <w:t xml:space="preserve">bez ograniczeń czasowych, </w:t>
      </w:r>
      <w:r>
        <w:t>tej samej klasy</w:t>
      </w:r>
      <w:r w:rsidR="00B0460C">
        <w:t xml:space="preserve"> i zasilanego tym samym rodzajem paliwa</w:t>
      </w:r>
      <w:r>
        <w:t>;</w:t>
      </w:r>
    </w:p>
    <w:p w:rsidR="007D380B" w:rsidRDefault="007D380B" w:rsidP="00CA735F">
      <w:pPr>
        <w:pStyle w:val="Akapitzlist"/>
        <w:numPr>
          <w:ilvl w:val="0"/>
          <w:numId w:val="2"/>
        </w:numPr>
        <w:jc w:val="both"/>
      </w:pPr>
      <w:r>
        <w:t>Usługa Door-to-Door</w:t>
      </w:r>
      <w:r w:rsidR="003C0E5E">
        <w:t xml:space="preserve"> na terenie RP</w:t>
      </w:r>
      <w:r>
        <w:t>;</w:t>
      </w:r>
    </w:p>
    <w:p w:rsidR="007D380B" w:rsidRDefault="00156D2A" w:rsidP="009446B9">
      <w:pPr>
        <w:pStyle w:val="Akapitzlist"/>
        <w:numPr>
          <w:ilvl w:val="0"/>
          <w:numId w:val="2"/>
        </w:numPr>
        <w:jc w:val="both"/>
      </w:pPr>
      <w:r>
        <w:t>Stała opłata</w:t>
      </w:r>
      <w:r w:rsidR="007D380B">
        <w:t xml:space="preserve"> miesięczna</w:t>
      </w:r>
      <w:r>
        <w:t xml:space="preserve"> w czasie obowiązywania umowy</w:t>
      </w:r>
      <w:r w:rsidR="007D380B">
        <w:t>, płatna po zakończeniu miesiąca najmu;</w:t>
      </w:r>
    </w:p>
    <w:p w:rsidR="007D380B" w:rsidRDefault="007D380B" w:rsidP="00CA735F">
      <w:pPr>
        <w:pStyle w:val="Akapitzlist"/>
        <w:numPr>
          <w:ilvl w:val="0"/>
          <w:numId w:val="2"/>
        </w:numPr>
        <w:jc w:val="both"/>
      </w:pPr>
      <w:r>
        <w:t>Dostawa i obsługa kart paliwowych</w:t>
      </w:r>
      <w:r w:rsidR="00606A81">
        <w:t xml:space="preserve"> (zakup paliwa, płynu do spryskiwaczy, usługa mycia pojazdów)</w:t>
      </w:r>
      <w:r w:rsidR="00ED5724">
        <w:t xml:space="preserve"> (maksymalnie 5</w:t>
      </w:r>
      <w:r w:rsidR="00EA1E7E">
        <w:t>0 dodatkowych kart – dla samochodów będących własnością UDT)</w:t>
      </w:r>
      <w:r>
        <w:t>;</w:t>
      </w:r>
    </w:p>
    <w:p w:rsidR="007D380B" w:rsidRDefault="007D380B" w:rsidP="00CA735F">
      <w:pPr>
        <w:pStyle w:val="Akapitzlist"/>
        <w:numPr>
          <w:ilvl w:val="0"/>
          <w:numId w:val="2"/>
        </w:numPr>
        <w:jc w:val="both"/>
      </w:pPr>
      <w:r>
        <w:t>Monitoring GPS pojazdów opisanych w pkt 1</w:t>
      </w:r>
      <w:r w:rsidR="009C2E98">
        <w:t xml:space="preserve"> </w:t>
      </w:r>
      <w:r>
        <w:t>(czytnik</w:t>
      </w:r>
      <w:r w:rsidR="00CA735F">
        <w:t xml:space="preserve"> zbliżeniowy kart w standardzie UNIQUE 125kHz wraz z </w:t>
      </w:r>
      <w:r>
        <w:t>klawiatur</w:t>
      </w:r>
      <w:r w:rsidR="00CA735F">
        <w:t>ą</w:t>
      </w:r>
      <w:r>
        <w:t xml:space="preserve"> numeryczn</w:t>
      </w:r>
      <w:r w:rsidR="00CA735F">
        <w:t>ą</w:t>
      </w:r>
      <w:r w:rsidR="00606A81">
        <w:t xml:space="preserve"> </w:t>
      </w:r>
      <w:r>
        <w:t>- autoryzacja umożliwia uruchomienie pojazdu).</w:t>
      </w:r>
    </w:p>
    <w:p w:rsidR="00B638DA" w:rsidRDefault="00B638DA" w:rsidP="00B638DA">
      <w:pPr>
        <w:jc w:val="both"/>
      </w:pPr>
      <w:r>
        <w:t>Kary umowne:</w:t>
      </w:r>
    </w:p>
    <w:p w:rsidR="00B638DA" w:rsidRPr="00B638DA" w:rsidRDefault="00B638DA" w:rsidP="00B638D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color w:val="000000"/>
        </w:rPr>
      </w:pPr>
      <w:r w:rsidRPr="00B638DA">
        <w:rPr>
          <w:rFonts w:asciiTheme="minorHAnsi" w:hAnsiTheme="minorHAnsi" w:cs="Tahoma"/>
          <w:color w:val="000000"/>
        </w:rPr>
        <w:t>Wykonawca zapłaci Zamawiającemu kary umowne w przypadku:</w:t>
      </w:r>
    </w:p>
    <w:p w:rsidR="00B638DA" w:rsidRPr="00B638DA" w:rsidRDefault="00B638DA" w:rsidP="00B638DA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="Tahoma"/>
        </w:rPr>
      </w:pPr>
      <w:r w:rsidRPr="00B638DA">
        <w:rPr>
          <w:rFonts w:asciiTheme="minorHAnsi" w:hAnsiTheme="minorHAnsi" w:cs="Tahoma"/>
          <w:color w:val="000000"/>
        </w:rPr>
        <w:t xml:space="preserve">opóźnienia w </w:t>
      </w:r>
      <w:r w:rsidRPr="00B638DA">
        <w:rPr>
          <w:rFonts w:asciiTheme="minorHAnsi" w:hAnsiTheme="minorHAnsi" w:cs="Tahoma"/>
        </w:rPr>
        <w:t>wydaniu samochodów lub kart paliwowych od każdego samochodu/ każdej karty paliwowej za każdy dzień opóźnienia,</w:t>
      </w:r>
    </w:p>
    <w:p w:rsidR="00B638DA" w:rsidRPr="00B638DA" w:rsidRDefault="00B638DA" w:rsidP="00B638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="Tahoma"/>
          <w:color w:val="000000"/>
        </w:rPr>
      </w:pPr>
      <w:r w:rsidRPr="00B638DA">
        <w:rPr>
          <w:rFonts w:asciiTheme="minorHAnsi" w:hAnsiTheme="minorHAnsi" w:cs="Tahoma"/>
          <w:color w:val="000000"/>
        </w:rPr>
        <w:t>braku możliwości korzystania z wydanych kart paliwowych od każdej karty paliwowej za każdy dzień braku możliwości korzystania,</w:t>
      </w:r>
    </w:p>
    <w:p w:rsidR="00B638DA" w:rsidRPr="00B638DA" w:rsidRDefault="00B638DA" w:rsidP="00B638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="Tahoma"/>
          <w:color w:val="000000"/>
        </w:rPr>
      </w:pPr>
      <w:r w:rsidRPr="00B638DA">
        <w:rPr>
          <w:rFonts w:asciiTheme="minorHAnsi" w:hAnsiTheme="minorHAnsi" w:cs="Tahoma"/>
          <w:color w:val="000000"/>
        </w:rPr>
        <w:t>nieusunięcia awarii systemu monitoringu GPS w terminie od samochodu za każdy dzień braku dostępu do danych systemu GPS</w:t>
      </w:r>
      <w:r w:rsidRPr="00B638DA">
        <w:rPr>
          <w:rFonts w:asciiTheme="minorHAnsi" w:hAnsiTheme="minorHAnsi" w:cs="Tahoma"/>
          <w:i/>
          <w:color w:val="000000"/>
        </w:rPr>
        <w:t>,</w:t>
      </w:r>
    </w:p>
    <w:p w:rsidR="00B638DA" w:rsidRPr="00B638DA" w:rsidRDefault="00B638DA" w:rsidP="00B638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="Tahoma"/>
          <w:color w:val="000000"/>
        </w:rPr>
      </w:pPr>
      <w:r w:rsidRPr="00B638DA">
        <w:rPr>
          <w:rFonts w:asciiTheme="minorHAnsi" w:hAnsiTheme="minorHAnsi" w:cs="Tahoma"/>
          <w:color w:val="000000"/>
        </w:rPr>
        <w:t>każdorazowego niedostarczenia któregokolwiek samochodu zastępczego w terminie za każdy dzień,</w:t>
      </w:r>
    </w:p>
    <w:p w:rsidR="00B638DA" w:rsidRPr="00B638DA" w:rsidRDefault="00B638DA" w:rsidP="00B638D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="Tahoma"/>
          <w:color w:val="000000"/>
        </w:rPr>
      </w:pPr>
      <w:r w:rsidRPr="00B638DA">
        <w:rPr>
          <w:rFonts w:asciiTheme="minorHAnsi" w:hAnsiTheme="minorHAnsi" w:cs="Tahoma"/>
          <w:color w:val="000000"/>
        </w:rPr>
        <w:t xml:space="preserve">za każdy rozpoczęty dzień braku możliwości korzystania przez Zamawiającego </w:t>
      </w:r>
      <w:r w:rsidRPr="00B638DA">
        <w:rPr>
          <w:rFonts w:asciiTheme="minorHAnsi" w:hAnsiTheme="minorHAnsi" w:cs="Tahoma"/>
          <w:color w:val="000000"/>
        </w:rPr>
        <w:br/>
        <w:t>z któregokolwiek samochodu z przyczyny niezawinionej przez Zamawiającego</w:t>
      </w:r>
      <w:r>
        <w:rPr>
          <w:rFonts w:asciiTheme="minorHAnsi" w:hAnsiTheme="minorHAnsi" w:cs="Tahoma"/>
          <w:color w:val="000000"/>
        </w:rPr>
        <w:t>,</w:t>
      </w:r>
    </w:p>
    <w:p w:rsidR="00B638DA" w:rsidRPr="00B638DA" w:rsidRDefault="00B638DA" w:rsidP="00B638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="Tahoma"/>
          <w:color w:val="000000"/>
        </w:rPr>
      </w:pPr>
      <w:r w:rsidRPr="00B638DA">
        <w:rPr>
          <w:rFonts w:asciiTheme="minorHAnsi" w:hAnsiTheme="minorHAnsi" w:cs="Tahoma"/>
          <w:color w:val="000000"/>
        </w:rPr>
        <w:t>każdorazowo za niedostarczenie nowego samochodu po okresie, odpowiednio 150 i 90 dni kalendarzowych użytkowania samochodu zastępczego, za każdy dzień opóźnienia.</w:t>
      </w:r>
    </w:p>
    <w:p w:rsidR="00154F76" w:rsidRPr="00154F76" w:rsidRDefault="00B638DA" w:rsidP="004D7B4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Tahoma"/>
          <w:color w:val="000000"/>
        </w:rPr>
      </w:pPr>
      <w:r w:rsidRPr="00154F76">
        <w:rPr>
          <w:rFonts w:asciiTheme="minorHAnsi" w:hAnsiTheme="minorHAnsi" w:cs="Tahoma"/>
          <w:color w:val="000000"/>
        </w:rPr>
        <w:t xml:space="preserve">W przypadku </w:t>
      </w:r>
      <w:r w:rsidRPr="00154F76">
        <w:rPr>
          <w:rFonts w:asciiTheme="minorHAnsi" w:hAnsiTheme="minorHAnsi" w:cs="Tahoma"/>
        </w:rPr>
        <w:t xml:space="preserve">odstąpienia lub wypowiedzenia umowy przez Zamawiającego z okoliczności, za które odpowiedzialność ponosi Wykonawca, Wykonawca zapłaci Zamawiającemu karę umowną w wysokości </w:t>
      </w:r>
      <w:r w:rsidRPr="00154F76">
        <w:rPr>
          <w:rFonts w:asciiTheme="minorHAnsi" w:hAnsiTheme="minorHAnsi" w:cs="Tahoma"/>
          <w:b/>
        </w:rPr>
        <w:t>10%</w:t>
      </w:r>
      <w:r w:rsidRPr="00154F76">
        <w:rPr>
          <w:rFonts w:asciiTheme="minorHAnsi" w:hAnsiTheme="minorHAnsi" w:cs="Tahoma"/>
        </w:rPr>
        <w:t xml:space="preserve"> c</w:t>
      </w:r>
      <w:r w:rsidR="00154F76">
        <w:rPr>
          <w:rFonts w:asciiTheme="minorHAnsi" w:hAnsiTheme="minorHAnsi" w:cs="Tahoma"/>
        </w:rPr>
        <w:t xml:space="preserve">ałkowitego wynagrodzenia brutto. </w:t>
      </w:r>
    </w:p>
    <w:p w:rsidR="00B638DA" w:rsidRPr="00154F76" w:rsidRDefault="00B638DA" w:rsidP="004D7B4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Tahoma"/>
          <w:color w:val="000000"/>
        </w:rPr>
      </w:pPr>
      <w:r w:rsidRPr="00154F76">
        <w:rPr>
          <w:rFonts w:asciiTheme="minorHAnsi" w:hAnsiTheme="minorHAnsi" w:cs="Tahoma"/>
          <w:color w:val="000000"/>
        </w:rPr>
        <w:t xml:space="preserve">W przypadku </w:t>
      </w:r>
      <w:r w:rsidRPr="00154F76">
        <w:rPr>
          <w:rFonts w:asciiTheme="minorHAnsi" w:hAnsiTheme="minorHAnsi" w:cs="Tahoma"/>
        </w:rPr>
        <w:t xml:space="preserve">odstąpienia lub wypowiedzenia umowy przez Wykonawcę z przyczyn leżących po jego stronie, Wykonawca zapłaci Zamawiającemu karę umowną w wysokości </w:t>
      </w:r>
      <w:r w:rsidRPr="00154F76">
        <w:rPr>
          <w:rFonts w:asciiTheme="minorHAnsi" w:hAnsiTheme="minorHAnsi" w:cs="Tahoma"/>
          <w:b/>
        </w:rPr>
        <w:t>10%</w:t>
      </w:r>
      <w:r w:rsidRPr="00154F76">
        <w:rPr>
          <w:rFonts w:asciiTheme="minorHAnsi" w:hAnsiTheme="minorHAnsi" w:cs="Tahoma"/>
        </w:rPr>
        <w:t xml:space="preserve"> całkowitego </w:t>
      </w:r>
      <w:r w:rsidRPr="00154F76">
        <w:rPr>
          <w:rFonts w:asciiTheme="minorHAnsi" w:hAnsiTheme="minorHAnsi" w:cs="Tahoma"/>
        </w:rPr>
        <w:lastRenderedPageBreak/>
        <w:t>wynagrodzenia brutto</w:t>
      </w:r>
      <w:r w:rsidR="00154F76">
        <w:rPr>
          <w:rFonts w:asciiTheme="minorHAnsi" w:hAnsiTheme="minorHAnsi" w:cs="Tahoma"/>
        </w:rPr>
        <w:t>.</w:t>
      </w:r>
    </w:p>
    <w:p w:rsidR="00B638DA" w:rsidRDefault="00B638DA" w:rsidP="00B638DA">
      <w:pPr>
        <w:pStyle w:val="Akapitzlist"/>
        <w:jc w:val="both"/>
      </w:pPr>
    </w:p>
    <w:p w:rsidR="007D380B" w:rsidRDefault="002B734A" w:rsidP="009B2E7C">
      <w:pPr>
        <w:pStyle w:val="Akapitzlist"/>
        <w:tabs>
          <w:tab w:val="num" w:pos="426"/>
        </w:tabs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</w:t>
      </w:r>
      <w:r w:rsidR="00CA735F" w:rsidRPr="00CA735F">
        <w:rPr>
          <w:rFonts w:asciiTheme="minorHAnsi" w:hAnsiTheme="minorHAnsi" w:cs="Tahoma"/>
        </w:rPr>
        <w:t xml:space="preserve">ojazdy </w:t>
      </w:r>
      <w:r>
        <w:rPr>
          <w:rFonts w:asciiTheme="minorHAnsi" w:hAnsiTheme="minorHAnsi" w:cs="Tahoma"/>
        </w:rPr>
        <w:t xml:space="preserve">będące przedmiotem najmu </w:t>
      </w:r>
      <w:r w:rsidR="00CA735F" w:rsidRPr="00CA735F">
        <w:rPr>
          <w:rFonts w:asciiTheme="minorHAnsi" w:hAnsiTheme="minorHAnsi" w:cs="Tahoma"/>
        </w:rPr>
        <w:t>powinny być takie same (model i mar</w:t>
      </w:r>
      <w:r>
        <w:rPr>
          <w:rFonts w:asciiTheme="minorHAnsi" w:hAnsiTheme="minorHAnsi" w:cs="Tahoma"/>
        </w:rPr>
        <w:t>ka) dla całej floty samochodów z danej grupy</w:t>
      </w:r>
      <w:r w:rsidR="00137E73">
        <w:rPr>
          <w:rFonts w:asciiTheme="minorHAnsi" w:hAnsiTheme="minorHAnsi" w:cs="Tahoma"/>
        </w:rPr>
        <w:t xml:space="preserve"> (kombi)</w:t>
      </w:r>
      <w:bookmarkStart w:id="0" w:name="_GoBack"/>
      <w:bookmarkEnd w:id="0"/>
    </w:p>
    <w:p w:rsidR="009446B9" w:rsidRPr="00CA735F" w:rsidRDefault="009446B9" w:rsidP="009B2E7C">
      <w:pPr>
        <w:pStyle w:val="Akapitzlist"/>
        <w:tabs>
          <w:tab w:val="num" w:pos="426"/>
        </w:tabs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/>
        </w:rPr>
      </w:pPr>
    </w:p>
    <w:p w:rsidR="00B638DA" w:rsidRDefault="00B638DA" w:rsidP="00CA735F">
      <w:pPr>
        <w:jc w:val="both"/>
      </w:pPr>
    </w:p>
    <w:p w:rsidR="00606A81" w:rsidRDefault="00606A81" w:rsidP="00CA735F">
      <w:pPr>
        <w:jc w:val="both"/>
      </w:pPr>
    </w:p>
    <w:p w:rsidR="002158C8" w:rsidRDefault="002158C8" w:rsidP="00CA735F">
      <w:pPr>
        <w:jc w:val="both"/>
      </w:pPr>
    </w:p>
    <w:p w:rsidR="00606A81" w:rsidRDefault="00606A81" w:rsidP="00CA735F">
      <w:pPr>
        <w:jc w:val="both"/>
      </w:pPr>
    </w:p>
    <w:sectPr w:rsidR="0060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5E" w:rsidRDefault="003C0E5E" w:rsidP="009C2E98">
      <w:r>
        <w:separator/>
      </w:r>
    </w:p>
  </w:endnote>
  <w:endnote w:type="continuationSeparator" w:id="0">
    <w:p w:rsidR="003C0E5E" w:rsidRDefault="003C0E5E" w:rsidP="009C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5E" w:rsidRDefault="003C0E5E" w:rsidP="009C2E98">
      <w:r>
        <w:separator/>
      </w:r>
    </w:p>
  </w:footnote>
  <w:footnote w:type="continuationSeparator" w:id="0">
    <w:p w:rsidR="003C0E5E" w:rsidRDefault="003C0E5E" w:rsidP="009C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ED2"/>
    <w:multiLevelType w:val="singleLevel"/>
    <w:tmpl w:val="31387EBC"/>
    <w:lvl w:ilvl="0">
      <w:start w:val="1"/>
      <w:numFmt w:val="decimal"/>
      <w:lvlText w:val="%1."/>
      <w:legacy w:legacy="1" w:legacySpace="0" w:legacyIndent="360"/>
      <w:lvlJc w:val="left"/>
      <w:rPr>
        <w:rFonts w:ascii="Tahoma" w:eastAsia="Times New Roman" w:hAnsi="Tahoma" w:cs="Tahoma" w:hint="default"/>
        <w:sz w:val="20"/>
        <w:szCs w:val="20"/>
      </w:rPr>
    </w:lvl>
  </w:abstractNum>
  <w:abstractNum w:abstractNumId="1" w15:restartNumberingAfterBreak="0">
    <w:nsid w:val="0B8A6AF8"/>
    <w:multiLevelType w:val="hybridMultilevel"/>
    <w:tmpl w:val="B9A8E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9A8"/>
    <w:multiLevelType w:val="hybridMultilevel"/>
    <w:tmpl w:val="DA18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FC7"/>
    <w:multiLevelType w:val="hybridMultilevel"/>
    <w:tmpl w:val="E4D0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4190"/>
    <w:multiLevelType w:val="hybridMultilevel"/>
    <w:tmpl w:val="4B14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47F8"/>
    <w:multiLevelType w:val="singleLevel"/>
    <w:tmpl w:val="A224AB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F"/>
    <w:rsid w:val="00055934"/>
    <w:rsid w:val="00137E73"/>
    <w:rsid w:val="00154F76"/>
    <w:rsid w:val="00156D2A"/>
    <w:rsid w:val="001D2224"/>
    <w:rsid w:val="00202541"/>
    <w:rsid w:val="002158C8"/>
    <w:rsid w:val="00284C06"/>
    <w:rsid w:val="002B734A"/>
    <w:rsid w:val="00324E0E"/>
    <w:rsid w:val="00350C68"/>
    <w:rsid w:val="003C0E5E"/>
    <w:rsid w:val="00472B16"/>
    <w:rsid w:val="005673AD"/>
    <w:rsid w:val="00606A81"/>
    <w:rsid w:val="006216A9"/>
    <w:rsid w:val="006D6995"/>
    <w:rsid w:val="00783A31"/>
    <w:rsid w:val="007D380B"/>
    <w:rsid w:val="008472AB"/>
    <w:rsid w:val="0092645F"/>
    <w:rsid w:val="009446B9"/>
    <w:rsid w:val="0097785F"/>
    <w:rsid w:val="009B2E7C"/>
    <w:rsid w:val="009C2E98"/>
    <w:rsid w:val="00A921AB"/>
    <w:rsid w:val="00A97D05"/>
    <w:rsid w:val="00AF6F1C"/>
    <w:rsid w:val="00B0460C"/>
    <w:rsid w:val="00B638DA"/>
    <w:rsid w:val="00B8192E"/>
    <w:rsid w:val="00BA1142"/>
    <w:rsid w:val="00C56A0D"/>
    <w:rsid w:val="00C63E2F"/>
    <w:rsid w:val="00C73B74"/>
    <w:rsid w:val="00CA735F"/>
    <w:rsid w:val="00D56E37"/>
    <w:rsid w:val="00DE4B32"/>
    <w:rsid w:val="00EA1E7E"/>
    <w:rsid w:val="00ED5724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EB5E71-96CE-42D3-B16C-103EEF7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0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8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D380B"/>
    <w:pPr>
      <w:ind w:left="720"/>
    </w:pPr>
  </w:style>
  <w:style w:type="paragraph" w:customStyle="1" w:styleId="ZnakZnakZnakZnakZnakZnakZnakZnak">
    <w:name w:val="Znak Znak Znak Znak Znak Znak Znak Znak"/>
    <w:basedOn w:val="Normalny"/>
    <w:rsid w:val="00B638D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A67A08D.dotm</Template>
  <TotalTime>46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Szczerbiński</dc:creator>
  <cp:keywords/>
  <dc:description/>
  <cp:lastModifiedBy>Michał Rędzio</cp:lastModifiedBy>
  <cp:revision>6</cp:revision>
  <dcterms:created xsi:type="dcterms:W3CDTF">2019-03-18T10:14:00Z</dcterms:created>
  <dcterms:modified xsi:type="dcterms:W3CDTF">2019-03-19T14:42:00Z</dcterms:modified>
</cp:coreProperties>
</file>