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8" w:rsidRPr="00247C93" w:rsidRDefault="009871B8" w:rsidP="009871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Termocykler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385">
        <w:rPr>
          <w:rFonts w:ascii="Times New Roman" w:hAnsi="Times New Roman" w:cs="Times New Roman"/>
          <w:b/>
          <w:sz w:val="24"/>
          <w:szCs w:val="24"/>
        </w:rPr>
        <w:t>Bio</w:t>
      </w:r>
      <w:proofErr w:type="spellEnd"/>
      <w:r w:rsidR="00006385">
        <w:rPr>
          <w:rFonts w:ascii="Times New Roman" w:hAnsi="Times New Roman" w:cs="Times New Roman"/>
          <w:b/>
          <w:sz w:val="24"/>
          <w:szCs w:val="24"/>
        </w:rPr>
        <w:t xml:space="preserve">-Rad </w:t>
      </w:r>
      <w:r>
        <w:rPr>
          <w:rFonts w:ascii="Times New Roman" w:hAnsi="Times New Roman" w:cs="Times New Roman"/>
          <w:b/>
          <w:sz w:val="24"/>
          <w:szCs w:val="24"/>
        </w:rPr>
        <w:t xml:space="preserve">T100 </w:t>
      </w:r>
      <w:bookmarkStart w:id="0" w:name="_GoBack"/>
      <w:bookmarkEnd w:id="0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92D6E" w:rsidTr="00392D6E">
        <w:tc>
          <w:tcPr>
            <w:tcW w:w="9606" w:type="dxa"/>
          </w:tcPr>
          <w:p w:rsidR="00392D6E" w:rsidRPr="00114B42" w:rsidRDefault="00392D6E" w:rsidP="00162E70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pl-PL"/>
              </w:rPr>
            </w:pPr>
            <w:r w:rsidRPr="00114B42">
              <w:rPr>
                <w:b/>
                <w:sz w:val="22"/>
                <w:szCs w:val="22"/>
                <w:lang w:val="pl-PL"/>
              </w:rPr>
              <w:t>Parametr wymagany</w:t>
            </w:r>
          </w:p>
        </w:tc>
      </w:tr>
      <w:tr w:rsidR="00392D6E" w:rsidTr="00392D6E">
        <w:trPr>
          <w:trHeight w:val="492"/>
        </w:trPr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Moduł grzejno-chłodzący z układem Peltier’a</w:t>
            </w: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Blok grzejny na 96 próbek 0.2 ml umożliwiający prowadzenie reakcji w wysokoprofilowych i bez bocznych ramek mikropłytkach, probówkach oraz paskach</w:t>
            </w: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Zakres temperatury bloku musi wynosić co najmniej 4 - 100°C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Szybkość grzania i chłodzenia musi wynosić co najmniej 4 °C</w:t>
            </w:r>
            <w:r>
              <w:rPr>
                <w:sz w:val="22"/>
                <w:szCs w:val="22"/>
                <w:lang w:val="pl-PL"/>
              </w:rPr>
              <w:t>/sek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Ogrzewana pokrywa w zakresie co najmniej 40 - 100°C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Dokładność temperatury musi wynosić co najmniej 0,5°C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 xml:space="preserve">Gradient termiczny w zakresie temperatury co najmniej od 30 do </w:t>
            </w:r>
            <w:smartTag w:uri="urn:schemas-microsoft-com:office:smarttags" w:element="metricconverter">
              <w:smartTagPr>
                <w:attr w:name="ProductID" w:val="100 ﾰC"/>
              </w:smartTagPr>
              <w:r w:rsidRPr="009B0ABD">
                <w:rPr>
                  <w:sz w:val="22"/>
                  <w:szCs w:val="22"/>
                  <w:lang w:val="pl-PL"/>
                </w:rPr>
                <w:t>100 °C</w:t>
              </w:r>
            </w:smartTag>
            <w:r w:rsidRPr="009B0ABD">
              <w:rPr>
                <w:sz w:val="22"/>
                <w:szCs w:val="22"/>
                <w:lang w:val="pl-PL"/>
              </w:rPr>
              <w:t xml:space="preserve"> umożliwiającego jednoczesną optymalizację warunków reakcji dla co najmniej 12 reagentów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Zakres programowania różnicy temperatur gradientu musi wynosić co najmniej od 1 do 25 °C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System gradientu termicznego musi zapewniać jednakowe czasy inkubacji dla wszystkich optymalizowanych temperatur gradientu – tzw. gradient dynamiczny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Rozpiętość zakresu gradientu termicznego maksymalnie 1 °C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Sterowanie i programowanie z kolorowego wyświetlacza dotykowego minimum 5,7”  o rozdzielczości VGA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Programowanie graficzne metody PCR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Pamięć RAM do zapisu minimum 500 programów amplifikacji DNA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 xml:space="preserve">Musi posiadać Port USB typu A z przodu aparatu 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W aparacie można amplifikować próbki o objętości co najmniej od 1-100 μl</w:t>
            </w: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Musi posiadać lampkę statusu LED – włącza się kiedy aparat pracuje, miga kiedy aparat jest trybie „standy”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Maksymalna szerokość termocyklera to 26 cm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Termocykler musi posiadać co najmniej dwa tryby określania momentu kiedy próbka osiąga zadaną temperaturę.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Tryb obliczeniowy – termocykler oblicza kiedy próbka osiąga daną temperaturę kiedy wprowadzona objętości próbki mieści się w zakresie od 1 μl do maksymalnie 100 μl.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Tryb blokowy – kiedy objętość próbki wprowadzona jest jako zero (0) termocykler przyjmuje, że temperatura próbki jest identyczna z temperaturą bloku reakcyjnego.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 xml:space="preserve">Możliwość ustawienia funkcji Standby mode. W tym trybie aparat zmniejsza zużycie energi poprzez wyłączenie wyświetlacza oraz wentylatorów systemowych. 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Musi być możliwość pobierania bezpłatnych aktualizacji z oficjalnej strony internetowej, które użytkownik może samodzielnie wprowadzić przy pomocy portu USB A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Musi posiadać funkcję „samotestowania” przeprowadzającą diagnostykę funkcjonowania termocyklera.</w:t>
            </w: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lastRenderedPageBreak/>
              <w:t>Wgląd w całkowitą ilość przepracowanych godzin przez termocykler.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Musi posiadać zgodność z CE wystawiona przez niezależną jednostkę lub deklaracja zgodności z CE wystawiona przez producenta urządzenia, a w przypadku wyrobów medycznych dokumenty potwierdzające dopuszczenie urządzenia do obrotu na terytorium Rzeczpospolitej Polskiej, zgodnie z wymogami ustawy z dnia 20 maja 2010 r o wyrobach medycznych (Dz.U. z 2010 nr 107 poz. 679)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 w:rsidRPr="009B0ABD">
              <w:rPr>
                <w:sz w:val="22"/>
                <w:szCs w:val="22"/>
                <w:lang w:val="pl-PL"/>
              </w:rPr>
              <w:t>Termocykler musi posiadać w zestawie specjalną ramkę, która zakładana jest wokół bloku grzejnego, minimalizującą możliwość zmiażdżenia pojedynczych probówek po zamknięciu pokrywy.</w:t>
            </w:r>
          </w:p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  <w:tr w:rsidR="00392D6E" w:rsidTr="00392D6E">
        <w:tc>
          <w:tcPr>
            <w:tcW w:w="9606" w:type="dxa"/>
          </w:tcPr>
          <w:p w:rsidR="00392D6E" w:rsidRPr="009B0ABD" w:rsidRDefault="00392D6E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Gwarancja 12 miesięcy. Serwis gwarancyjny i pogwarancyjny na terenie kraju</w:t>
            </w:r>
          </w:p>
        </w:tc>
      </w:tr>
      <w:tr w:rsidR="00AD5693" w:rsidTr="00392D6E">
        <w:tc>
          <w:tcPr>
            <w:tcW w:w="9606" w:type="dxa"/>
          </w:tcPr>
          <w:p w:rsidR="00AD5693" w:rsidRPr="00AD5693" w:rsidRDefault="00AD5693" w:rsidP="00AD5693">
            <w:pPr>
              <w:pStyle w:val="Nagwek"/>
              <w:rPr>
                <w:rFonts w:eastAsia="HelveticaNeueLTCom-Lt"/>
                <w:sz w:val="24"/>
                <w:lang w:val="pl-PL"/>
              </w:rPr>
            </w:pPr>
            <w:r w:rsidRPr="00AD5693">
              <w:rPr>
                <w:rFonts w:eastAsia="HelveticaNeueLTCom-Lt"/>
                <w:sz w:val="24"/>
                <w:lang w:val="pl-PL"/>
              </w:rPr>
              <w:t xml:space="preserve">Firma dostarczająca powinna posiadać w stałym portfolio również kompatybilne rozwiązania na bazie mikrofluidycznej, do analiz typu digital PCR QX200, wraz z całym portfolio assay do analiz ekspresji genów. Powinna dostarczyć minimum 5 systemów tego typu w roku 2018 do klientów na terenie Polski </w:t>
            </w:r>
          </w:p>
          <w:p w:rsidR="00AD5693" w:rsidRDefault="00AD5693" w:rsidP="00162E70">
            <w:pPr>
              <w:pStyle w:val="Nagwek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pl-PL"/>
              </w:rPr>
            </w:pPr>
          </w:p>
        </w:tc>
      </w:tr>
    </w:tbl>
    <w:p w:rsidR="001620FC" w:rsidRDefault="001620FC"/>
    <w:sectPr w:rsidR="0016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Com-L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B8"/>
    <w:rsid w:val="00006385"/>
    <w:rsid w:val="000B6BD1"/>
    <w:rsid w:val="001620FC"/>
    <w:rsid w:val="001C5EDA"/>
    <w:rsid w:val="00392D6E"/>
    <w:rsid w:val="005222E1"/>
    <w:rsid w:val="009871B8"/>
    <w:rsid w:val="00A63373"/>
    <w:rsid w:val="00AC1375"/>
    <w:rsid w:val="00AD5693"/>
    <w:rsid w:val="00C67D61"/>
    <w:rsid w:val="00D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71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9871B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8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71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9871B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8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Krawczyk</dc:creator>
  <cp:lastModifiedBy>Mikołaj</cp:lastModifiedBy>
  <cp:revision>3</cp:revision>
  <dcterms:created xsi:type="dcterms:W3CDTF">2019-09-25T09:53:00Z</dcterms:created>
  <dcterms:modified xsi:type="dcterms:W3CDTF">2019-09-25T11:35:00Z</dcterms:modified>
</cp:coreProperties>
</file>