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8F4" w14:textId="4ED6AC81" w:rsidR="002815DC" w:rsidRPr="00B93118" w:rsidRDefault="002815DC" w:rsidP="002815DC">
      <w:pPr>
        <w:tabs>
          <w:tab w:val="left" w:pos="284"/>
        </w:tabs>
        <w:ind w:left="7088" w:hanging="142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ZAŁACZNIKNR 2</w:t>
      </w:r>
    </w:p>
    <w:p w14:paraId="7721BA7D" w14:textId="77777777" w:rsidR="002815DC" w:rsidRDefault="002815DC" w:rsidP="002815DC">
      <w:pPr>
        <w:jc w:val="center"/>
        <w:rPr>
          <w:rFonts w:ascii="Arial" w:hAnsi="Arial" w:cs="Arial"/>
          <w:b/>
        </w:rPr>
      </w:pPr>
    </w:p>
    <w:p w14:paraId="63FC455E" w14:textId="77777777" w:rsidR="002815DC" w:rsidRDefault="002815DC" w:rsidP="002815DC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</w:rPr>
        <w:t>OPIS PRZEDMIOTU ZAMÓWIENIA</w:t>
      </w:r>
    </w:p>
    <w:p w14:paraId="331EC60B" w14:textId="77777777" w:rsidR="002815DC" w:rsidRPr="00AA5EA0" w:rsidRDefault="002815D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EA05B41" w14:textId="77777777" w:rsidR="002815DC" w:rsidRDefault="002815D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8376D0">
        <w:rPr>
          <w:rFonts w:ascii="Arial" w:hAnsi="Arial" w:cs="Arial"/>
          <w:b/>
          <w:sz w:val="20"/>
          <w:szCs w:val="20"/>
          <w:lang w:eastAsia="ar-SA"/>
        </w:rPr>
        <w:t>Część 1:</w:t>
      </w:r>
    </w:p>
    <w:p w14:paraId="11D1921C" w14:textId="77777777" w:rsidR="002E616C" w:rsidRDefault="002E616C" w:rsidP="002E616C">
      <w:pPr>
        <w:rPr>
          <w:sz w:val="22"/>
          <w:szCs w:val="22"/>
        </w:rPr>
      </w:pPr>
    </w:p>
    <w:p w14:paraId="0B6898CE" w14:textId="77777777" w:rsidR="002815DC" w:rsidRDefault="002815DC" w:rsidP="002815DC">
      <w:pPr>
        <w:rPr>
          <w:sz w:val="22"/>
          <w:szCs w:val="22"/>
        </w:rPr>
      </w:pPr>
    </w:p>
    <w:tbl>
      <w:tblPr>
        <w:tblW w:w="96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760"/>
        <w:gridCol w:w="4996"/>
        <w:gridCol w:w="567"/>
        <w:gridCol w:w="709"/>
        <w:gridCol w:w="944"/>
      </w:tblGrid>
      <w:tr w:rsidR="002815DC" w14:paraId="3B51631C" w14:textId="77777777" w:rsidTr="002815DC">
        <w:trPr>
          <w:trHeight w:val="9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6BAD1BB" w14:textId="77777777" w:rsidR="002815DC" w:rsidRDefault="002815DC" w:rsidP="003D61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80CC3EF" w14:textId="77777777" w:rsidR="002815DC" w:rsidRDefault="002815DC" w:rsidP="003D61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CC568DC" w14:textId="77777777" w:rsidR="002815DC" w:rsidRDefault="002815DC" w:rsidP="003D61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C54B33C" w14:textId="77777777" w:rsidR="002815DC" w:rsidRDefault="002815DC" w:rsidP="003D61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86CF39F" w14:textId="77777777" w:rsidR="002815DC" w:rsidRDefault="002815DC" w:rsidP="003D61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6CAC0C0" w14:textId="77777777" w:rsidR="002815DC" w:rsidRDefault="002815DC" w:rsidP="003D61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Obszar</w:t>
            </w:r>
          </w:p>
        </w:tc>
      </w:tr>
      <w:tr w:rsidR="002815DC" w14:paraId="19C9AD62" w14:textId="77777777" w:rsidTr="002815DC">
        <w:trPr>
          <w:trHeight w:val="15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0F73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64A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Surowica Salmonella dla antygenu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Hb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B15" w14:textId="78985499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464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046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F25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255333CA" w14:textId="77777777" w:rsidTr="002815DC">
        <w:trPr>
          <w:trHeight w:val="15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241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6A8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Surowica Salmonella dla antygenu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Heh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C36" w14:textId="06F27948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402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C40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9FE6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3D5D8BEE" w14:textId="77777777" w:rsidTr="002815DC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254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11B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Surowica Salmonella dla antygenu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Hfg</w:t>
            </w:r>
            <w:proofErr w:type="spellEnd"/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250" w14:textId="1F2370D6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82C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330B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CA3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56703219" w14:textId="77777777" w:rsidTr="002815DC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6D2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C91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Surowica Salmonella dla antygenu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Hgm</w:t>
            </w:r>
            <w:proofErr w:type="spellEnd"/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E31" w14:textId="2DAC85A1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DA3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5E7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7E5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6478C427" w14:textId="77777777" w:rsidTr="002815DC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4FB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A3D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Surowica Salmonella dla antygenu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Hq</w:t>
            </w:r>
            <w:proofErr w:type="spellEnd"/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83D2" w14:textId="4E8F3AB1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EB15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54C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B5F2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7F707FCE" w14:textId="77777777" w:rsidTr="002815DC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1B3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83A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Surowica Salmonella dla antygenu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Hw</w:t>
            </w:r>
            <w:proofErr w:type="spellEnd"/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2563" w14:textId="67CB83E5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945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2D5C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E7A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1E6A5481" w14:textId="77777777" w:rsidTr="002815DC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F89A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BAC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Surowica Salmonella dla antygenu HM 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A5F" w14:textId="058FE21B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0623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4EA5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95E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367CC572" w14:textId="77777777" w:rsidTr="002815DC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C08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092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Surowica Salmonella dla antygenu E O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002" w14:textId="7BE1C739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6F0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9B4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32C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06CAE395" w14:textId="77777777" w:rsidTr="002815DC">
        <w:trPr>
          <w:trHeight w:val="15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6EB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3C6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Surowica Salmonella dla antygenu H5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D41" w14:textId="1FA4D65C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6C9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47F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022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2815DC" w14:paraId="4DE2726B" w14:textId="77777777" w:rsidTr="002815DC">
        <w:trPr>
          <w:trHeight w:val="15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CB1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39AB" w14:textId="77777777" w:rsidR="002815DC" w:rsidRDefault="002815DC" w:rsidP="003D61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Surowica Salmonella dla antygenu H6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704" w14:textId="11C05C9E" w:rsidR="002815DC" w:rsidRDefault="002815DC" w:rsidP="003D61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ml, lub zestaw innych, przy zachowaniu co najmniej takiej samej całkowitej ilości produktu.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Surowica do aglutynacji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szkiełkowej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data ważności min.</w:t>
            </w:r>
            <w:r w:rsidR="002E6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 miesięcy; Certyfikat. Transport w warunkach zapewniających utrzymanie temperatury 2-8°C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2BF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319D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0E9" w14:textId="77777777" w:rsidR="002815DC" w:rsidRDefault="002815DC" w:rsidP="003D61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</w:tbl>
    <w:p w14:paraId="034C62AB" w14:textId="77777777" w:rsidR="002815DC" w:rsidRDefault="002815DC" w:rsidP="002815DC">
      <w:pPr>
        <w:rPr>
          <w:sz w:val="22"/>
          <w:szCs w:val="22"/>
        </w:rPr>
      </w:pPr>
    </w:p>
    <w:p w14:paraId="49D0BE80" w14:textId="77777777" w:rsidR="002E616C" w:rsidRPr="008376D0" w:rsidRDefault="002E616C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8376D0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  <w:r w:rsidRPr="008376D0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3B780160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FA7D771" w14:textId="77777777" w:rsidR="002E616C" w:rsidRDefault="002E616C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742"/>
        <w:gridCol w:w="5012"/>
        <w:gridCol w:w="567"/>
        <w:gridCol w:w="709"/>
        <w:gridCol w:w="992"/>
      </w:tblGrid>
      <w:tr w:rsidR="002E616C" w14:paraId="75C19747" w14:textId="77777777" w:rsidTr="00E82198">
        <w:trPr>
          <w:trHeight w:val="9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500BBCE" w14:textId="77777777" w:rsidR="002E616C" w:rsidRDefault="002E616C" w:rsidP="00E821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3198B0" w14:textId="77777777" w:rsidR="002E616C" w:rsidRDefault="002E616C" w:rsidP="00E821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1BB8363" w14:textId="77777777" w:rsidR="002E616C" w:rsidRDefault="002E616C" w:rsidP="00E821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1AC32B9" w14:textId="77777777" w:rsidR="002E616C" w:rsidRDefault="002E616C" w:rsidP="00E821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622C12B" w14:textId="77777777" w:rsidR="002E616C" w:rsidRDefault="002E616C" w:rsidP="00E821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E595FEA" w14:textId="77777777" w:rsidR="002E616C" w:rsidRDefault="002E616C" w:rsidP="00E821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Obszar</w:t>
            </w:r>
          </w:p>
        </w:tc>
      </w:tr>
      <w:tr w:rsidR="002E616C" w14:paraId="6DAE02DE" w14:textId="77777777" w:rsidTr="00E82198">
        <w:trPr>
          <w:trHeight w:val="30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87FD" w14:textId="77777777" w:rsidR="002E616C" w:rsidRDefault="002E616C" w:rsidP="00E821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EDE" w14:textId="77777777" w:rsidR="002E616C" w:rsidRDefault="002E616C" w:rsidP="00E821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8D7" w14:textId="77777777" w:rsidR="002E616C" w:rsidRDefault="002E616C" w:rsidP="00E821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Wskaźnik do mikrobiologicznej oceny skuteczności sterylizacji suchym gorącym powietrzem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Op. 40 krążków lub zestaw innych, gdzie łączna ilość produktu nie będzie mniejsza niż wyjściowa.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Test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biologiczny-krążek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bibułowy zawierający 10^8-10^9 zarodników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Bacilus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subtilis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zdolnych do przejścia w formy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wegetatwne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warunki wyjałowienia testu to co najmniej 70 minut w suchym powietrzu w temp. nie mniej niż 160°C. Termin przydatności do użytku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F0CE" w14:textId="77777777" w:rsidR="002E616C" w:rsidRDefault="002E616C" w:rsidP="00E821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E5DE" w14:textId="77777777" w:rsidR="002E616C" w:rsidRDefault="002E616C" w:rsidP="00E821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3B55" w14:textId="77777777" w:rsidR="002E616C" w:rsidRDefault="002E616C" w:rsidP="00E821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</w:tbl>
    <w:p w14:paraId="054471AD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EFF4453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7CDF981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345D890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11F8AE9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1FDA2D2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CA873D5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D46A97C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59875EC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344614D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69AE736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F68ABAD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49D1729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1D69859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8DD51AD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E646FF7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0E8A741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F4032FD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DC19FC2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EC53624" w14:textId="77777777" w:rsidR="002E616C" w:rsidRDefault="002E616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7B1D317" w14:textId="5EBABF8B" w:rsidR="002815DC" w:rsidRPr="008376D0" w:rsidRDefault="002815D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8376D0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3</w:t>
      </w:r>
      <w:r w:rsidRPr="008376D0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BFBD1ED" w14:textId="77777777" w:rsidR="002815DC" w:rsidRDefault="002815DC" w:rsidP="002815DC">
      <w:pPr>
        <w:rPr>
          <w:sz w:val="22"/>
          <w:szCs w:val="22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797"/>
        <w:gridCol w:w="4819"/>
        <w:gridCol w:w="639"/>
        <w:gridCol w:w="709"/>
        <w:gridCol w:w="921"/>
      </w:tblGrid>
      <w:tr w:rsidR="002E616C" w14:paraId="1CDB2712" w14:textId="77777777" w:rsidTr="00E82198">
        <w:trPr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5369" w14:textId="77777777" w:rsidR="002E616C" w:rsidRDefault="002E616C" w:rsidP="00E821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DC01" w14:textId="77777777" w:rsidR="002E616C" w:rsidRDefault="002E616C" w:rsidP="00E821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EBAD" w14:textId="77777777" w:rsidR="002E616C" w:rsidRDefault="002E616C" w:rsidP="00E821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3977" w14:textId="77777777" w:rsidR="002E616C" w:rsidRDefault="002E616C" w:rsidP="00E8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808B" w14:textId="77777777" w:rsidR="002E616C" w:rsidRDefault="002E616C" w:rsidP="00E82198">
            <w:pPr>
              <w:jc w:val="center"/>
              <w:rPr>
                <w:sz w:val="20"/>
                <w:szCs w:val="20"/>
              </w:rPr>
            </w:pPr>
          </w:p>
        </w:tc>
      </w:tr>
      <w:tr w:rsidR="002E616C" w14:paraId="5B46FEEB" w14:textId="77777777" w:rsidTr="00E82198">
        <w:trPr>
          <w:trHeight w:val="7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769776" w14:textId="77777777" w:rsidR="002E616C" w:rsidRDefault="002E616C" w:rsidP="00E821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9D4D01" w14:textId="77777777" w:rsidR="002E616C" w:rsidRDefault="002E616C" w:rsidP="00E821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9FEF9D" w14:textId="77777777" w:rsidR="002E616C" w:rsidRDefault="002E616C" w:rsidP="00E821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B8221D" w14:textId="77777777" w:rsidR="002E616C" w:rsidRDefault="002E616C" w:rsidP="00E821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01A8B2" w14:textId="77777777" w:rsidR="002E616C" w:rsidRDefault="002E616C" w:rsidP="00E821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B19FAA" w14:textId="77777777" w:rsidR="002E616C" w:rsidRDefault="002E616C" w:rsidP="00E821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Obszar</w:t>
            </w:r>
          </w:p>
        </w:tc>
      </w:tr>
      <w:tr w:rsidR="002E616C" w14:paraId="20566A89" w14:textId="77777777" w:rsidTr="00E82198">
        <w:trPr>
          <w:trHeight w:val="793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661F" w14:textId="77777777" w:rsidR="002E616C" w:rsidRPr="0030062F" w:rsidRDefault="002E616C" w:rsidP="00E821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 1.       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08A8E" w14:textId="77777777" w:rsidR="002E616C" w:rsidRPr="0030062F" w:rsidRDefault="002E616C" w:rsidP="00E82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Zestaw do RT-qPCR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3483" w14:textId="77777777" w:rsidR="002E616C" w:rsidRPr="0030062F" w:rsidRDefault="002E616C" w:rsidP="00E8219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Opakowanie 100 reakcji.</w:t>
            </w:r>
          </w:p>
          <w:p w14:paraId="088B7802" w14:textId="032EEFAA" w:rsidR="002E616C" w:rsidRDefault="002E616C" w:rsidP="00E8219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typu one-step, 5x stężony, zestaw dedykowany do amplifikacji RNA metodą One-Step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Reverse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Transcription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Quantitative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PCR, do sond typu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TaqMan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taki jak RNA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UltraSense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One-Step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Quantitative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RT-PCR System nr katalogowy: 11732-927 lub równoważny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w zakresie poziomu wydajności amplifikacji – konieczne przedstawienie dokumentacji potwierdzającej równoważność</w:t>
            </w:r>
            <w:r w:rsidR="005530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530C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zakresie poziomu amplifikacji w przypadku innego produktu. Bufor zawierający w składzie polimerazę Hot Start Platinum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Taq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odwrotną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transkryptazę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(amplifikacja RNA metodą typu one-step), bufor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dodatkiem jonów magnezu oraz po 1mM każdego z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dNTPów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-bez barwników, dopuszcza się aby barwniki znajdowały się osobno, dodatkowo </w:t>
            </w: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 zestawie 50mM MgSO4, zestaw na 100 reakcji. </w:t>
            </w: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 </w:t>
            </w:r>
            <w:proofErr w:type="spellStart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miksie</w:t>
            </w:r>
            <w:proofErr w:type="spellEnd"/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enzymatycznym obecność inhibitora rybonukleazy. Ważność minimum 6 miesięcy od daty dostarczenia.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A636" w14:textId="77777777" w:rsidR="002E616C" w:rsidRPr="0030062F" w:rsidRDefault="002E616C" w:rsidP="00E82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5C62" w14:textId="77777777" w:rsidR="002E616C" w:rsidRPr="0030062F" w:rsidRDefault="002E616C" w:rsidP="00E82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CB41" w14:textId="77777777" w:rsidR="002E616C" w:rsidRPr="0030062F" w:rsidRDefault="002E616C" w:rsidP="00E821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62F">
              <w:rPr>
                <w:rFonts w:ascii="Calibri" w:hAnsi="Calibri" w:cs="Calibri"/>
                <w:color w:val="000000"/>
                <w:sz w:val="22"/>
                <w:szCs w:val="22"/>
              </w:rPr>
              <w:t>LLM</w:t>
            </w:r>
          </w:p>
        </w:tc>
      </w:tr>
    </w:tbl>
    <w:p w14:paraId="2E41CF3B" w14:textId="77777777" w:rsidR="002E616C" w:rsidRDefault="002E616C" w:rsidP="002E616C">
      <w:pPr>
        <w:rPr>
          <w:sz w:val="22"/>
          <w:szCs w:val="22"/>
        </w:rPr>
      </w:pPr>
    </w:p>
    <w:p w14:paraId="6749CD63" w14:textId="77777777" w:rsidR="002815DC" w:rsidRDefault="002815DC" w:rsidP="002815DC">
      <w:pPr>
        <w:rPr>
          <w:sz w:val="22"/>
          <w:szCs w:val="22"/>
        </w:rPr>
      </w:pPr>
    </w:p>
    <w:p w14:paraId="1559474D" w14:textId="77777777" w:rsidR="002815DC" w:rsidRPr="002815DC" w:rsidRDefault="002815DC" w:rsidP="002815D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>Wymagania względem dokumentacji:</w:t>
      </w:r>
    </w:p>
    <w:p w14:paraId="47FFE80F" w14:textId="1E3C9624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Do każdej dostawy należy zawsze dołączyć certyfikat kontroli jakości lub świadectwo kontroli</w:t>
      </w:r>
      <w:r w:rsidRPr="002815D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jakości. Certyfikat/świadectwo ma zawierać: nazwę produktu, numer katalogowy, numer serii,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 xml:space="preserve">datę ważności, niepewność stężenia (dotyczy wzorców), </w:t>
      </w:r>
      <w:proofErr w:type="spellStart"/>
      <w:r w:rsidRPr="002815DC">
        <w:rPr>
          <w:rFonts w:ascii="Arial" w:hAnsi="Arial" w:cs="Arial"/>
          <w:sz w:val="22"/>
          <w:szCs w:val="22"/>
        </w:rPr>
        <w:t>pH</w:t>
      </w:r>
      <w:proofErr w:type="spellEnd"/>
      <w:r w:rsidRPr="002815DC">
        <w:rPr>
          <w:rFonts w:ascii="Arial" w:hAnsi="Arial" w:cs="Arial"/>
          <w:sz w:val="22"/>
          <w:szCs w:val="22"/>
        </w:rPr>
        <w:t xml:space="preserve"> produktu (jeśli dotyczy), skład (jeśli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 xml:space="preserve">dotyczy), postać produktu, warunki przechowywania </w:t>
      </w:r>
      <w:r w:rsidRPr="002815DC">
        <w:rPr>
          <w:rFonts w:ascii="Arial" w:hAnsi="Arial" w:cs="Arial"/>
          <w:color w:val="000000"/>
          <w:sz w:val="22"/>
          <w:szCs w:val="22"/>
        </w:rPr>
        <w:t>oraz inne wymagane informacje (np. stężenia wzorców mikrobiologicznych).</w:t>
      </w:r>
    </w:p>
    <w:p w14:paraId="3BB8A2F8" w14:textId="4CDB84E6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Do każdej dostawy należy dołączyć aktualną kartę charakterystyki. Jeśli karta charakterystyki nie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jest wymagana dla danego produktu, należy to wyraźnie zaznaczyć.</w:t>
      </w:r>
    </w:p>
    <w:p w14:paraId="79733619" w14:textId="51938110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Do każdej dostawy należy dołączyć dokumentację określającą warunki przechowywania oraz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datę ważności produktu (jeśli nie jest to zawarte w certyfikacie lub na etykiecie).</w:t>
      </w:r>
    </w:p>
    <w:p w14:paraId="53EF557E" w14:textId="77777777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lastRenderedPageBreak/>
        <w:t>Sposób użycia produktu (jeśli dotyczy) należy opisać w języku polskim.</w:t>
      </w:r>
    </w:p>
    <w:p w14:paraId="2E828B6F" w14:textId="092C977C" w:rsidR="002815DC" w:rsidRPr="002815DC" w:rsidRDefault="002815DC" w:rsidP="002815DC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Całość dokumentacji w języku polskim. Dopuszcza się certyfikaty kontroli jakości lub świadectwa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kontroli jakości w języku angielskim.</w:t>
      </w:r>
    </w:p>
    <w:p w14:paraId="612BEAD4" w14:textId="77777777" w:rsidR="002815DC" w:rsidRPr="002815DC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DCA81F" w14:textId="77777777" w:rsidR="002815DC" w:rsidRPr="002815DC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>Warunki realizacji dostaw:</w:t>
      </w:r>
    </w:p>
    <w:p w14:paraId="44E3A74B" w14:textId="0002E1CD" w:rsidR="002815DC" w:rsidRPr="002815DC" w:rsidRDefault="002815DC" w:rsidP="002815DC">
      <w:pPr>
        <w:numPr>
          <w:ilvl w:val="0"/>
          <w:numId w:val="4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W celu uniknięcia pomyłek w dostawach dostawca ma obowiązek potwierdzić zgodność pozycji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przetargowej z opisem jednostkowym zamawianego towaru. Każda wątpliwość – wymaga kontaktu z Zamawiającym.</w:t>
      </w:r>
    </w:p>
    <w:p w14:paraId="4743C32D" w14:textId="5BB4AE3E" w:rsidR="002815DC" w:rsidRPr="002815DC" w:rsidRDefault="002815DC" w:rsidP="002815DC">
      <w:pPr>
        <w:numPr>
          <w:ilvl w:val="0"/>
          <w:numId w:val="4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 xml:space="preserve">W przypadku opóźnionego terminu realizacji konieczne jest udzielenie informacji </w:t>
      </w:r>
      <w:r>
        <w:rPr>
          <w:rFonts w:ascii="Arial" w:hAnsi="Arial" w:cs="Arial"/>
          <w:sz w:val="22"/>
          <w:szCs w:val="22"/>
        </w:rPr>
        <w:br/>
      </w:r>
      <w:r w:rsidRPr="002815DC">
        <w:rPr>
          <w:rFonts w:ascii="Arial" w:hAnsi="Arial" w:cs="Arial"/>
          <w:sz w:val="22"/>
          <w:szCs w:val="22"/>
        </w:rPr>
        <w:t>o przyczynach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powstania opóźnienia oraz o terminie dostawy brakujących pozycji.</w:t>
      </w:r>
    </w:p>
    <w:p w14:paraId="0DA35DF5" w14:textId="6AB5B690" w:rsidR="002815DC" w:rsidRPr="002815DC" w:rsidRDefault="002815DC" w:rsidP="002815DC">
      <w:pPr>
        <w:numPr>
          <w:ilvl w:val="0"/>
          <w:numId w:val="4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Transport odczynników i wzorców powinien odbywać się z zachowaniem odpowiednich temperatur wymaganych przez producenta</w:t>
      </w:r>
      <w:r>
        <w:rPr>
          <w:rFonts w:ascii="Arial" w:hAnsi="Arial" w:cs="Arial"/>
          <w:sz w:val="22"/>
          <w:szCs w:val="22"/>
        </w:rPr>
        <w:t>.</w:t>
      </w:r>
    </w:p>
    <w:p w14:paraId="4F5833DB" w14:textId="77777777" w:rsidR="002815DC" w:rsidRPr="002815DC" w:rsidRDefault="002815DC" w:rsidP="002815DC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5CA26B6" w14:textId="77777777" w:rsidR="002815DC" w:rsidRPr="002815DC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</w:p>
    <w:p w14:paraId="373BD8E7" w14:textId="7BDE41DF" w:rsidR="002815DC" w:rsidRPr="002815DC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 xml:space="preserve">Dodatkowe wymagania względem jakości produktów (część </w:t>
      </w:r>
      <w:r w:rsidR="002E616C">
        <w:rPr>
          <w:rFonts w:ascii="Arial" w:hAnsi="Arial" w:cs="Arial"/>
          <w:b/>
          <w:bCs/>
          <w:sz w:val="22"/>
          <w:szCs w:val="22"/>
        </w:rPr>
        <w:t xml:space="preserve">1 i </w:t>
      </w:r>
      <w:r w:rsidRPr="002815DC">
        <w:rPr>
          <w:rFonts w:ascii="Arial" w:hAnsi="Arial" w:cs="Arial"/>
          <w:b/>
          <w:bCs/>
          <w:sz w:val="22"/>
          <w:szCs w:val="22"/>
        </w:rPr>
        <w:t>2):</w:t>
      </w:r>
    </w:p>
    <w:p w14:paraId="0DFCE605" w14:textId="64B5AFD8" w:rsidR="002815DC" w:rsidRDefault="002815DC" w:rsidP="002815DC">
      <w:pPr>
        <w:pStyle w:val="Akapitzlist"/>
        <w:numPr>
          <w:ilvl w:val="0"/>
          <w:numId w:val="2"/>
        </w:numPr>
        <w:autoSpaceDE w:val="0"/>
        <w:autoSpaceDN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Odczynniki mają posiadać czystość, co najmniej, cz.d.a. (lub wskazaną).</w:t>
      </w:r>
    </w:p>
    <w:p w14:paraId="7AA2A986" w14:textId="77777777" w:rsidR="002815DC" w:rsidRDefault="002815DC" w:rsidP="002815DC">
      <w:pPr>
        <w:pStyle w:val="Akapitzlist"/>
        <w:autoSpaceDE w:val="0"/>
        <w:autoSpaceDN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A1107F6" w14:textId="77777777" w:rsidR="002815DC" w:rsidRDefault="002815DC" w:rsidP="002815DC">
      <w:pPr>
        <w:pStyle w:val="Akapitzlist"/>
        <w:numPr>
          <w:ilvl w:val="0"/>
          <w:numId w:val="2"/>
        </w:numPr>
        <w:autoSpaceDE w:val="0"/>
        <w:autoSpaceDN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 xml:space="preserve">W pozycjach z odpowiednią adnotacją w opisie produktu dopuszcza się zmianę sposobu konfekcjonowania produktu, jednak łączna ilość oferowanego produktu musi być zgodna ze specyfikacją wyjściową, biorąc pod uwagę wielkość opakowania i ilość opakowań w specyfikacji. W przypadkach podania wielkości opakowania bez adnotacji wymaga się dostarczenia produktu w opakowaniu o wskazanej pojemności. Ewentualne zmiany należy konsultować z Zamawiającym drogą poczty elektronicznej. </w:t>
      </w:r>
    </w:p>
    <w:p w14:paraId="4E03CD75" w14:textId="77777777" w:rsidR="002815DC" w:rsidRDefault="002815DC" w:rsidP="002815DC">
      <w:pPr>
        <w:pStyle w:val="Akapitzlist"/>
        <w:autoSpaceDE w:val="0"/>
        <w:autoSpaceDN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A6B4069" w14:textId="77777777" w:rsidR="002815DC" w:rsidRPr="002815DC" w:rsidRDefault="002815DC" w:rsidP="002815DC">
      <w:pPr>
        <w:pStyle w:val="Akapitzlist"/>
        <w:numPr>
          <w:ilvl w:val="0"/>
          <w:numId w:val="2"/>
        </w:numPr>
        <w:autoSpaceDE w:val="0"/>
        <w:autoSpaceDN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 xml:space="preserve">Produkty powinny posiadać na etykiecie datę ważności z podaniem miesiąca i roku </w:t>
      </w:r>
      <w:r w:rsidRPr="002815DC">
        <w:rPr>
          <w:rFonts w:ascii="Arial" w:hAnsi="Arial" w:cs="Arial"/>
          <w:color w:val="000000"/>
          <w:sz w:val="22"/>
          <w:szCs w:val="22"/>
        </w:rPr>
        <w:t>(jeśli dotyczy).</w:t>
      </w:r>
    </w:p>
    <w:p w14:paraId="7EC86700" w14:textId="77777777" w:rsidR="002815DC" w:rsidRPr="002815DC" w:rsidRDefault="002815DC" w:rsidP="002815DC">
      <w:pPr>
        <w:pStyle w:val="Akapitzlist"/>
        <w:rPr>
          <w:rFonts w:ascii="Arial" w:hAnsi="Arial" w:cs="Arial"/>
          <w:sz w:val="22"/>
          <w:szCs w:val="22"/>
        </w:rPr>
      </w:pPr>
    </w:p>
    <w:p w14:paraId="3F92C008" w14:textId="77777777" w:rsidR="002815DC" w:rsidRDefault="002815DC" w:rsidP="002815DC">
      <w:pPr>
        <w:pStyle w:val="Akapitzlist"/>
        <w:numPr>
          <w:ilvl w:val="0"/>
          <w:numId w:val="2"/>
        </w:numPr>
        <w:autoSpaceDE w:val="0"/>
        <w:autoSpaceDN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Do transportu odczynników w pojemnikach szklanych używać specjalnie do tego przygotowanych wytłoczek zabezpieczających.</w:t>
      </w:r>
    </w:p>
    <w:p w14:paraId="6274D25D" w14:textId="77777777" w:rsidR="002815DC" w:rsidRPr="002815DC" w:rsidRDefault="002815DC" w:rsidP="002815DC">
      <w:pPr>
        <w:pStyle w:val="Akapitzlist"/>
        <w:rPr>
          <w:rFonts w:ascii="Arial" w:hAnsi="Arial" w:cs="Arial"/>
          <w:sz w:val="22"/>
          <w:szCs w:val="22"/>
        </w:rPr>
      </w:pPr>
    </w:p>
    <w:p w14:paraId="33947E1D" w14:textId="010C9C65" w:rsidR="002815DC" w:rsidRPr="002815DC" w:rsidRDefault="002815DC" w:rsidP="002815DC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 xml:space="preserve">Dodatkowe wymagania względem wzorców (część </w:t>
      </w:r>
      <w:r w:rsidR="002E616C">
        <w:rPr>
          <w:rFonts w:ascii="Arial" w:hAnsi="Arial" w:cs="Arial"/>
          <w:b/>
          <w:bCs/>
          <w:sz w:val="22"/>
          <w:szCs w:val="22"/>
        </w:rPr>
        <w:t xml:space="preserve">1 i </w:t>
      </w:r>
      <w:r w:rsidR="002E616C" w:rsidRPr="002815DC">
        <w:rPr>
          <w:rFonts w:ascii="Arial" w:hAnsi="Arial" w:cs="Arial"/>
          <w:b/>
          <w:bCs/>
          <w:sz w:val="22"/>
          <w:szCs w:val="22"/>
        </w:rPr>
        <w:t>2</w:t>
      </w:r>
      <w:r w:rsidRPr="002815DC">
        <w:rPr>
          <w:rFonts w:ascii="Arial" w:hAnsi="Arial" w:cs="Arial"/>
          <w:b/>
          <w:bCs/>
          <w:sz w:val="22"/>
          <w:szCs w:val="22"/>
        </w:rPr>
        <w:t>):</w:t>
      </w:r>
    </w:p>
    <w:p w14:paraId="62B6E651" w14:textId="77777777" w:rsidR="002815DC" w:rsidRPr="002815DC" w:rsidRDefault="002815DC" w:rsidP="002815D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Okres ważności wzorca zgodny ze specyfikacją. Ewentualne odstępstwa każdorazowo konsultować z Zamawiającym drogą poczty elektronicznej.</w:t>
      </w:r>
    </w:p>
    <w:p w14:paraId="1DAE8BB7" w14:textId="77777777" w:rsidR="002815DC" w:rsidRPr="002815DC" w:rsidRDefault="002815DC" w:rsidP="002815D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D3D2523" w14:textId="77777777" w:rsidR="002815DC" w:rsidRPr="002815DC" w:rsidRDefault="002815DC" w:rsidP="002815DC">
      <w:pPr>
        <w:jc w:val="both"/>
        <w:rPr>
          <w:sz w:val="22"/>
          <w:szCs w:val="22"/>
        </w:rPr>
      </w:pPr>
    </w:p>
    <w:sectPr w:rsidR="002815DC" w:rsidRPr="002815DC" w:rsidSect="002815DC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E77" w14:textId="77777777" w:rsidR="002815DC" w:rsidRDefault="002815DC" w:rsidP="002815DC">
      <w:r>
        <w:separator/>
      </w:r>
    </w:p>
  </w:endnote>
  <w:endnote w:type="continuationSeparator" w:id="0">
    <w:p w14:paraId="2CE0FE29" w14:textId="77777777" w:rsidR="002815DC" w:rsidRDefault="002815DC" w:rsidP="002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52532"/>
      <w:docPartObj>
        <w:docPartGallery w:val="Page Numbers (Bottom of Page)"/>
        <w:docPartUnique/>
      </w:docPartObj>
    </w:sdtPr>
    <w:sdtEndPr/>
    <w:sdtContent>
      <w:p w14:paraId="597B4D06" w14:textId="7C2605E2" w:rsidR="002815DC" w:rsidRDefault="00281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1BEAC" w14:textId="77777777" w:rsidR="002815DC" w:rsidRDefault="00281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625E" w14:textId="77777777" w:rsidR="002815DC" w:rsidRDefault="002815DC" w:rsidP="002815DC">
      <w:r>
        <w:separator/>
      </w:r>
    </w:p>
  </w:footnote>
  <w:footnote w:type="continuationSeparator" w:id="0">
    <w:p w14:paraId="4B0B2F75" w14:textId="77777777" w:rsidR="002815DC" w:rsidRDefault="002815DC" w:rsidP="0028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369"/>
    <w:multiLevelType w:val="hybridMultilevel"/>
    <w:tmpl w:val="E06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375B"/>
    <w:multiLevelType w:val="hybridMultilevel"/>
    <w:tmpl w:val="BC268FB6"/>
    <w:lvl w:ilvl="0" w:tplc="B7E2CD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1CC3"/>
    <w:multiLevelType w:val="hybridMultilevel"/>
    <w:tmpl w:val="F816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430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898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099202">
    <w:abstractNumId w:val="1"/>
  </w:num>
  <w:num w:numId="4" w16cid:durableId="762383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C"/>
    <w:rsid w:val="002815DC"/>
    <w:rsid w:val="002E616C"/>
    <w:rsid w:val="005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798"/>
  <w15:chartTrackingRefBased/>
  <w15:docId w15:val="{6D8A4D5D-5804-47C2-B555-752E30F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2</cp:revision>
  <cp:lastPrinted>2023-09-01T08:37:00Z</cp:lastPrinted>
  <dcterms:created xsi:type="dcterms:W3CDTF">2023-08-30T09:20:00Z</dcterms:created>
  <dcterms:modified xsi:type="dcterms:W3CDTF">2023-09-01T08:43:00Z</dcterms:modified>
</cp:coreProperties>
</file>