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21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C82EEF">
        <w:rPr>
          <w:rFonts w:asciiTheme="minorHAnsi" w:hAnsiTheme="minorHAnsi" w:cstheme="minorHAnsi"/>
          <w:lang w:eastAsia="ar-SA"/>
        </w:rPr>
        <w:t>03.</w:t>
      </w:r>
      <w:r w:rsidR="001A246E">
        <w:rPr>
          <w:rFonts w:asciiTheme="minorHAnsi" w:hAnsiTheme="minorHAnsi" w:cstheme="minorHAnsi"/>
          <w:lang w:eastAsia="ar-SA"/>
        </w:rPr>
        <w:t>11</w:t>
      </w:r>
      <w:r w:rsidR="00D65409">
        <w:rPr>
          <w:rFonts w:asciiTheme="minorHAnsi" w:hAnsiTheme="minorHAnsi" w:cstheme="minorHAnsi"/>
          <w:lang w:eastAsia="ar-SA"/>
        </w:rPr>
        <w:t>.</w:t>
      </w:r>
      <w:r w:rsidR="006A2427" w:rsidRPr="00583AA5">
        <w:rPr>
          <w:rFonts w:asciiTheme="minorHAnsi" w:hAnsiTheme="minorHAnsi" w:cstheme="minorHAnsi"/>
          <w:lang w:eastAsia="ar-SA"/>
        </w:rPr>
        <w:t>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30892" w:rsidRDefault="00C30892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bookmarkStart w:id="0" w:name="_Hlk85172953"/>
      <w:r w:rsidR="002527BF" w:rsidRPr="002527BF">
        <w:rPr>
          <w:rFonts w:asciiTheme="minorHAnsi" w:hAnsiTheme="minorHAnsi" w:cstheme="minorHAnsi"/>
          <w:b/>
        </w:rPr>
        <w:t xml:space="preserve">Zakup </w:t>
      </w:r>
      <w:bookmarkEnd w:id="0"/>
      <w:r w:rsidR="002527BF" w:rsidRPr="002527BF">
        <w:rPr>
          <w:rFonts w:asciiTheme="minorHAnsi" w:hAnsiTheme="minorHAnsi" w:cstheme="minorHAnsi"/>
          <w:b/>
        </w:rPr>
        <w:t>energii elektrycznej</w:t>
      </w:r>
      <w:r w:rsidR="002527BF">
        <w:rPr>
          <w:rFonts w:asciiTheme="minorHAnsi" w:hAnsiTheme="minorHAnsi" w:cstheme="minorHAnsi"/>
          <w:b/>
        </w:rPr>
        <w:t xml:space="preserve"> dla</w:t>
      </w:r>
      <w:r w:rsidR="006A2427" w:rsidRPr="00583AA5">
        <w:rPr>
          <w:rFonts w:asciiTheme="minorHAnsi" w:hAnsiTheme="minorHAnsi" w:cstheme="minorHAnsi"/>
          <w:b/>
        </w:rPr>
        <w:t xml:space="preserve"> Instytutu Zootechniki – Państwowego Instytutu Badawczego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któreś z </w:t>
      </w:r>
      <w:proofErr w:type="spellStart"/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ppe</w:t>
      </w:r>
      <w:proofErr w:type="spellEnd"/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objętych postępowaniem posiada status prosumenta?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Jeśli tak Wnioskujemy o wykreślenie PPE posiadających status prosumenta, gdyż nie mamy</w:t>
      </w:r>
    </w:p>
    <w:p w:rsidR="003A4712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możliwości przedstawienia oferty dla takich PPE.</w:t>
      </w: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3A4712" w:rsidRDefault="002527BF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2527BF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Zamawiający informuje, że w żadnej z lokalizacji objętych postępowaniem nie znajdują się PPE posiadające status prosumenta.</w:t>
      </w:r>
    </w:p>
    <w:p w:rsidR="003A4712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Zwracamy się z zapytaniem czy Zamawiający przekaże niezbędne dane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 przeprowadzenia procedury zmiany sprzedawcy w wersji elektronicznej Excel niezwłocznie po wyborze oferty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Wykonawcy?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Wyłoniony Wykonawca będzie potrzebował następujących danych do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przeprowadzenia zmiany sprzedawcy dla każdego punktu poboru: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nazwa i adres firmy;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opis punktu poboru;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adres punktu poboru (miejscowość, ulica. numer lokalu, kod, gmina);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grupa taryfowa (obecna i nowa);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moc umowna;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planowane roczne zużycie energii;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numer licznika;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Operator Systemu Dystrybucyjnego;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nazwa dotychczasowego Sprzedawcy;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informacje dotyczące wypowiedzenia umowy;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data zawarcia oraz okres wypowiedzenia dotychczasowej urnowy;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numer ewidencyjny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numer PPE;</w:t>
      </w:r>
    </w:p>
    <w:p w:rsidR="00A00B3D" w:rsidRPr="00A00B3D" w:rsidRDefault="00A00B3D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00B3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 oddziały OSD dla poszczególnych PPE</w:t>
      </w: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:rsidR="00A00B3D" w:rsidRDefault="00AF2E1B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F2E1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przekaże niezbędne dane.</w:t>
      </w:r>
    </w:p>
    <w:p w:rsidR="0022061E" w:rsidRPr="00E01AC5" w:rsidRDefault="0022061E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:rsidR="00A00B3D" w:rsidRPr="00F613E0" w:rsidRDefault="00F613E0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Wykonawca wnioskuje o modyfikację zapisów obowiązywania umowy na:</w:t>
      </w:r>
    </w:p>
    <w:p w:rsidR="00F613E0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„Rozpoczęcie świadczenia dostawy energii elektrycznej na mocy niniejszej Umowy nastąpi nie wcześniej niż po</w:t>
      </w:r>
      <w:r w:rsidR="00192A4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skutecznie przeprowadzonej przez Wykonawcę we współpracy z Zamawiającym procedurze zmiany sprzedawcy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 przyjęciu umowy do realizacji przez OSD”.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Ma to związek z zachowaniem terminów zgodnych z PZP, oraz terminami zgłoszeń sprzedaży. Potrzeba jest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minimum 30 dni na procedury związane ze zgłoszeniem umowy od Strony Wykonawcy, w przypadku umów</w:t>
      </w:r>
      <w:r w:rsidR="00192A4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rezerwowych umowy są zgłaszane na najbliższy możliwy termin, również zachowując odpowiednie terminy (21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dni minimum, plus czas na zabudowę, weryfikację oraz ewentualne poprawienie błędów. Gdy oferta składana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będzie 10.11.2023 istnieje ryzyko przesunięcia sprzedaży czasem o kilka dni. W związku z powyższym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wnioskujemy jak wyżej lub dostarczenie danych, lub zobligowanie się zapisem w umowie o podpisaniu umowy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najpóźniej do dnia 20.12.2023 r.</w:t>
      </w:r>
    </w:p>
    <w:p w:rsidR="00F613E0" w:rsidRPr="00F613E0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:rsidR="00701E3B" w:rsidRPr="004B6EC3" w:rsidRDefault="00701E3B" w:rsidP="00701E3B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B6EC3">
        <w:rPr>
          <w:rFonts w:ascii="Calibri" w:eastAsia="Calibri" w:hAnsi="Calibri" w:cs="Calibri"/>
          <w:color w:val="0D0D0D" w:themeColor="text1" w:themeTint="F2"/>
          <w:lang w:eastAsia="en-US"/>
        </w:rPr>
        <w:t>Zamawiający zgadza się na modyfikację zapisów obowiązywania umowy, dodając w § 7 ustęp  o następującym brzmieniu:</w:t>
      </w:r>
    </w:p>
    <w:p w:rsidR="00701E3B" w:rsidRPr="004B6EC3" w:rsidRDefault="00701E3B" w:rsidP="00701E3B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701E3B" w:rsidRPr="004B6EC3" w:rsidRDefault="00701E3B" w:rsidP="00701E3B">
      <w:pPr>
        <w:jc w:val="both"/>
        <w:rPr>
          <w:rFonts w:ascii="Calibri" w:eastAsia="Calibri" w:hAnsi="Calibri" w:cs="Calibri"/>
          <w:i/>
          <w:color w:val="0D0D0D" w:themeColor="text1" w:themeTint="F2"/>
          <w:lang w:eastAsia="en-US"/>
        </w:rPr>
      </w:pPr>
      <w:r w:rsidRPr="004B6EC3">
        <w:rPr>
          <w:rFonts w:ascii="Calibri" w:eastAsia="Calibri" w:hAnsi="Calibri" w:cs="Calibri"/>
          <w:i/>
          <w:color w:val="0D0D0D" w:themeColor="text1" w:themeTint="F2"/>
          <w:lang w:eastAsia="en-US"/>
        </w:rPr>
        <w:t>Umowa wchodzi w życie w zakresie każdego punktu poboru z dniem 1 stycznia 2024 r., lecz nie wcześniej niż po skutecznie przeprowadzonej przez Wykonawcę we współpracy z Zamawiającym procedurze zmiany sprzedawcy i przyjęciu umowy do realizacji przez OSD.</w:t>
      </w:r>
    </w:p>
    <w:p w:rsidR="00A00B3D" w:rsidRPr="00E01AC5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:rsidR="00A00B3D" w:rsidRDefault="00F613E0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Ile umów zostanie finalnie podpisanych?</w:t>
      </w:r>
    </w:p>
    <w:p w:rsidR="00F613E0" w:rsidRPr="00F613E0" w:rsidRDefault="00F613E0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:rsidR="002527BF" w:rsidRPr="002527BF" w:rsidRDefault="002527BF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</w:t>
      </w: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ostaną podpisane trzy umowy, osobno dla każdej części.</w:t>
      </w:r>
    </w:p>
    <w:p w:rsidR="00A00B3D" w:rsidRPr="00E01AC5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5</w:t>
      </w:r>
    </w:p>
    <w:p w:rsidR="00F613E0" w:rsidRPr="00F613E0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 xml:space="preserve">Wykonawca prosi o doprecyzowanie, czy postępowanie dotyczy </w:t>
      </w:r>
      <w:bookmarkStart w:id="1" w:name="_GoBack"/>
      <w:bookmarkEnd w:id="1"/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sprzedaży energii elektrycznej czy usługi kompleksowej (sprzedaż I dystrybucja).</w:t>
      </w:r>
    </w:p>
    <w:p w:rsidR="00F613E0" w:rsidRPr="00F613E0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§ 1 ust 2:</w:t>
      </w:r>
    </w:p>
    <w:p w:rsidR="00A00B3D" w:rsidRPr="000D7A68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Umowa nie obejmuje spraw związanych z dystrybucją energii elektrycznej, przyłączeniem, opomiarowaniem i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jakością energii wchodzących w zakres odrębnej umowy o świadczenie usług dystrybucyjnych, zawartej przez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Zamawiającego z Operatorem Systemu Dystrybucyjnego.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 kolei § 5 ust. 7: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“Rozliczanie zobowiązań wynikających z tytułu zarówno sprzedaży energii elektrycznej jak</w:t>
      </w:r>
      <w:r w:rsidR="000D7A6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i z tytułu dystrybucji energii elektrycznej</w:t>
      </w:r>
      <w:r w:rsidRPr="00F613E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(z OSD) odbywać się będzie według jednego, wspólnego układu</w:t>
      </w:r>
      <w:r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 xml:space="preserve"> </w:t>
      </w:r>
      <w:r w:rsidRPr="00F613E0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pomiarowo-rozliczeniowego”.</w:t>
      </w:r>
    </w:p>
    <w:p w:rsidR="00F613E0" w:rsidRPr="00F613E0" w:rsidRDefault="00F613E0" w:rsidP="00F613E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A00B3D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5</w:t>
      </w:r>
    </w:p>
    <w:p w:rsidR="00770299" w:rsidRPr="002527BF" w:rsidRDefault="00770299" w:rsidP="0077029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wyjaśnia, że postępowanie dotyczy sprzedaży energii elektrycznej.</w:t>
      </w:r>
    </w:p>
    <w:p w:rsidR="00770299" w:rsidRPr="002527BF" w:rsidRDefault="00770299" w:rsidP="0077029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Umowa nie obejmuje spraw związanych z dystrybucją energii elektrycznej, przyłączeniem, opomiarowaniem i jakością energii wchodzących w zakres odrębnej umowy o świadczenie </w:t>
      </w: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lastRenderedPageBreak/>
        <w:t>usług dystrybucyjnych, zawartej przez Zamawiającego z Operatorem Systemu Dystrybucyjnego.</w:t>
      </w:r>
    </w:p>
    <w:p w:rsidR="00770299" w:rsidRPr="002527BF" w:rsidRDefault="00770299" w:rsidP="0077029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770299" w:rsidRPr="002527BF" w:rsidRDefault="00770299" w:rsidP="0077029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§ 5 ust. 7 umowy Zamawiający wskazuje jedynie, że zarówno rozliczenia z Wykonawcą (dotyczące sprzedaży energii elektrycznej), jak i rozliczenia z OSD (dotyczące dystrybucji energii elektrycznej) będą się odbywały według jednego, wspólnego układu pomiarowo-rozliczeniowego. </w:t>
      </w:r>
    </w:p>
    <w:p w:rsidR="00770299" w:rsidRDefault="00770299" w:rsidP="0077029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527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Zastosowanie tych samych pomiarów i zasad pozwoli uniknąć ewentualnych nieścisłości czy sporów związanych z różnymi systemami rozliczeń.</w:t>
      </w:r>
    </w:p>
    <w:p w:rsidR="00A00B3D" w:rsidRPr="00E01AC5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4712" w:rsidRPr="00E01AC5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336E9"/>
    <w:rsid w:val="00344593"/>
    <w:rsid w:val="00352FDD"/>
    <w:rsid w:val="00364B84"/>
    <w:rsid w:val="00366FF4"/>
    <w:rsid w:val="00387E0D"/>
    <w:rsid w:val="003A4712"/>
    <w:rsid w:val="00421DAA"/>
    <w:rsid w:val="00462544"/>
    <w:rsid w:val="004B2079"/>
    <w:rsid w:val="004B6EC3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965EDB"/>
    <w:rsid w:val="00981E9A"/>
    <w:rsid w:val="009D2EEF"/>
    <w:rsid w:val="009D6BCB"/>
    <w:rsid w:val="00A00B3D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56BBF"/>
    <w:rsid w:val="00D575D3"/>
    <w:rsid w:val="00D64E9F"/>
    <w:rsid w:val="00D65409"/>
    <w:rsid w:val="00DA545A"/>
    <w:rsid w:val="00E01AC5"/>
    <w:rsid w:val="00E12095"/>
    <w:rsid w:val="00E64368"/>
    <w:rsid w:val="00EC0F0E"/>
    <w:rsid w:val="00EE5F6D"/>
    <w:rsid w:val="00F15FAA"/>
    <w:rsid w:val="00F60E00"/>
    <w:rsid w:val="00F613E0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AE3A5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56DC-C550-4C2E-8400-261C7D0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182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69</cp:revision>
  <cp:lastPrinted>2022-07-18T07:34:00Z</cp:lastPrinted>
  <dcterms:created xsi:type="dcterms:W3CDTF">2022-01-31T09:00:00Z</dcterms:created>
  <dcterms:modified xsi:type="dcterms:W3CDTF">2023-11-03T07:51:00Z</dcterms:modified>
</cp:coreProperties>
</file>