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AFDA" w14:textId="77777777" w:rsidR="00382052" w:rsidRDefault="00382052" w:rsidP="007D2015">
      <w:pPr>
        <w:pStyle w:val="Zwykytekst1"/>
        <w:ind w:right="-1"/>
        <w:jc w:val="right"/>
        <w:rPr>
          <w:rFonts w:ascii="Century Gothic" w:hAnsi="Century Gothic" w:cs="Arial"/>
          <w:iCs/>
          <w:sz w:val="18"/>
          <w:szCs w:val="18"/>
        </w:rPr>
      </w:pPr>
    </w:p>
    <w:p w14:paraId="1B526F16" w14:textId="79A3FF0E" w:rsidR="007D2015" w:rsidRDefault="007D2015" w:rsidP="007D2015">
      <w:pPr>
        <w:pStyle w:val="Zwykytekst1"/>
        <w:ind w:right="-1"/>
        <w:jc w:val="right"/>
        <w:rPr>
          <w:rFonts w:ascii="Century Gothic" w:hAnsi="Century Gothic" w:cs="Arial"/>
          <w:iCs/>
          <w:sz w:val="18"/>
          <w:szCs w:val="18"/>
        </w:rPr>
      </w:pPr>
      <w:r>
        <w:rPr>
          <w:rFonts w:ascii="Century Gothic" w:hAnsi="Century Gothic" w:cs="Arial"/>
          <w:iCs/>
          <w:sz w:val="18"/>
          <w:szCs w:val="18"/>
        </w:rPr>
        <w:t>Załącznik nr 3 do SWZ</w:t>
      </w:r>
    </w:p>
    <w:p w14:paraId="752BE0F2" w14:textId="77777777" w:rsidR="007D2015" w:rsidRDefault="007D2015" w:rsidP="007D2015">
      <w:pPr>
        <w:pStyle w:val="Zwykytekst1"/>
        <w:ind w:right="-1"/>
        <w:jc w:val="center"/>
        <w:rPr>
          <w:rFonts w:ascii="Century Gothic" w:hAnsi="Century Gothic" w:cs="Arial"/>
          <w:iCs/>
          <w:sz w:val="18"/>
          <w:szCs w:val="18"/>
        </w:rPr>
      </w:pPr>
    </w:p>
    <w:p w14:paraId="732C23F7" w14:textId="0C6D6920" w:rsidR="007D2015" w:rsidRDefault="007D2015" w:rsidP="007D2015">
      <w:pPr>
        <w:pStyle w:val="Zwykytekst1"/>
        <w:ind w:right="-1"/>
        <w:jc w:val="center"/>
        <w:rPr>
          <w:rFonts w:ascii="Century Gothic" w:hAnsi="Century Gothic" w:cs="Arial"/>
          <w:iCs/>
          <w:sz w:val="18"/>
          <w:szCs w:val="18"/>
        </w:rPr>
      </w:pPr>
      <w:r>
        <w:rPr>
          <w:rFonts w:ascii="Century Gothic" w:hAnsi="Century Gothic" w:cs="Arial"/>
          <w:iCs/>
          <w:sz w:val="18"/>
          <w:szCs w:val="18"/>
        </w:rPr>
        <w:t xml:space="preserve">FORMULARZ CENOWY </w:t>
      </w:r>
    </w:p>
    <w:p w14:paraId="5C66A7B2" w14:textId="4DE98AA4" w:rsidR="008F2E79" w:rsidRPr="008F2E79" w:rsidRDefault="008F2E79" w:rsidP="007D2015">
      <w:pPr>
        <w:pStyle w:val="Zwykytekst1"/>
        <w:ind w:right="-1"/>
        <w:jc w:val="center"/>
        <w:rPr>
          <w:rFonts w:ascii="Century Gothic" w:hAnsi="Century Gothic" w:cs="Arial"/>
          <w:b/>
          <w:bCs/>
          <w:iCs/>
          <w:sz w:val="18"/>
          <w:szCs w:val="18"/>
        </w:rPr>
      </w:pPr>
      <w:r w:rsidRPr="008F2E79">
        <w:rPr>
          <w:rFonts w:ascii="Century Gothic" w:hAnsi="Century Gothic" w:cs="Arial"/>
          <w:b/>
          <w:bCs/>
          <w:iCs/>
          <w:sz w:val="18"/>
          <w:szCs w:val="18"/>
        </w:rPr>
        <w:t>PO MODYFIKACJI</w:t>
      </w:r>
    </w:p>
    <w:p w14:paraId="7F6C9FBB" w14:textId="77777777" w:rsidR="007D2015" w:rsidRDefault="007D2015" w:rsidP="007D2015">
      <w:pPr>
        <w:pStyle w:val="Zwykytekst1"/>
        <w:ind w:right="-1"/>
        <w:jc w:val="center"/>
        <w:rPr>
          <w:rFonts w:ascii="Century Gothic" w:hAnsi="Century Gothic" w:cs="Arial"/>
          <w:iCs/>
          <w:sz w:val="18"/>
          <w:szCs w:val="18"/>
        </w:rPr>
      </w:pPr>
    </w:p>
    <w:p w14:paraId="0538C372" w14:textId="77777777" w:rsidR="007D2015" w:rsidRDefault="007D2015" w:rsidP="007D2015">
      <w:pPr>
        <w:pStyle w:val="Zwykytekst1"/>
        <w:ind w:right="-1"/>
        <w:jc w:val="both"/>
        <w:rPr>
          <w:rFonts w:ascii="Century Gothic" w:hAnsi="Century Gothic" w:cs="Arial"/>
          <w:i/>
          <w:sz w:val="18"/>
          <w:szCs w:val="18"/>
        </w:rPr>
      </w:pPr>
    </w:p>
    <w:p w14:paraId="6DAE9F4A" w14:textId="77777777" w:rsidR="007D2015" w:rsidRPr="001F2966" w:rsidRDefault="007D2015" w:rsidP="007D2015">
      <w:pPr>
        <w:pStyle w:val="Styl3"/>
        <w:numPr>
          <w:ilvl w:val="1"/>
          <w:numId w:val="2"/>
        </w:numPr>
        <w:rPr>
          <w:b/>
        </w:rPr>
      </w:pPr>
      <w:r w:rsidRPr="001F2966">
        <w:rPr>
          <w:b/>
        </w:rPr>
        <w:t>Serwer x86</w:t>
      </w:r>
    </w:p>
    <w:tbl>
      <w:tblPr>
        <w:tblW w:w="5084" w:type="pct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3360"/>
        <w:gridCol w:w="4047"/>
        <w:gridCol w:w="824"/>
        <w:gridCol w:w="1234"/>
        <w:gridCol w:w="1098"/>
        <w:gridCol w:w="786"/>
        <w:gridCol w:w="1134"/>
      </w:tblGrid>
      <w:tr w:rsidR="007D2015" w14:paraId="00D95ED9" w14:textId="77777777" w:rsidTr="007D2015">
        <w:tc>
          <w:tcPr>
            <w:tcW w:w="1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F21C088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3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CE41BEA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40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0FB92C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Parametry oferowane (proszę wypełnić dokładnie niniejszy opis oraz podać producenta oraz typ/model oferowanego urządzenia wraz z nazwą, typem/modelem poszczególnych podzespołów składowych np. procesora, zasilaczy, wentylatora itp.)</w:t>
            </w:r>
          </w:p>
        </w:tc>
        <w:tc>
          <w:tcPr>
            <w:tcW w:w="8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43FACAA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Liczba szt.</w:t>
            </w:r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CFF43C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D99304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Wartość</w:t>
            </w:r>
          </w:p>
          <w:p w14:paraId="6AE9C59C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7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4EE49D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%VAT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EA52716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7D2015" w14:paraId="77158FC4" w14:textId="77777777" w:rsidTr="007D2015">
        <w:tc>
          <w:tcPr>
            <w:tcW w:w="51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1854DE" w14:textId="77777777" w:rsidR="007D2015" w:rsidRDefault="007D2015" w:rsidP="00C3175C">
            <w:pPr>
              <w:snapToGrid w:val="0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Serwer</w:t>
            </w:r>
          </w:p>
        </w:tc>
        <w:tc>
          <w:tcPr>
            <w:tcW w:w="40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67C9EAA" w14:textId="77777777" w:rsidR="007D2015" w:rsidRDefault="007D2015" w:rsidP="00C3175C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DFD92E" w14:textId="77777777" w:rsidR="007D2015" w:rsidRDefault="007D2015" w:rsidP="00C3175C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9B8DDC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59DE3B9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360FE4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60C75F2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5BD804CC" w14:textId="77777777" w:rsidTr="007D2015"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1393DA7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BFEF56D" w14:textId="77777777" w:rsidR="007D2015" w:rsidRDefault="007D2015" w:rsidP="00C3175C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1A348E" w14:textId="77777777" w:rsidR="007D2015" w:rsidRDefault="007D2015" w:rsidP="00C3175C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76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5F2340" w14:textId="77777777" w:rsidR="007D2015" w:rsidRDefault="007D2015" w:rsidP="00C3175C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D2015" w14:paraId="0466E8DF" w14:textId="77777777" w:rsidTr="007D2015"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93CE8F2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Typ/Model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0C12F6F" w14:textId="77777777" w:rsidR="007D2015" w:rsidRDefault="007D2015" w:rsidP="00C3175C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456C8D" w14:textId="77777777" w:rsidR="007D2015" w:rsidRDefault="007D2015" w:rsidP="00C3175C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7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620BAF" w14:textId="77777777" w:rsidR="007D2015" w:rsidRDefault="007D2015" w:rsidP="00C3175C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D2015" w14:paraId="64438C5A" w14:textId="77777777" w:rsidTr="007D2015"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B0055E3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Obudowa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6EBE7BA" w14:textId="77777777" w:rsidR="007D2015" w:rsidRDefault="007D2015" w:rsidP="00C3175C">
            <w:r w:rsidRPr="00893C40">
              <w:rPr>
                <w:sz w:val="20"/>
              </w:rPr>
              <w:t xml:space="preserve">Do instalacji w szafie </w:t>
            </w:r>
            <w:proofErr w:type="spellStart"/>
            <w:r w:rsidRPr="00893C40">
              <w:rPr>
                <w:sz w:val="20"/>
              </w:rPr>
              <w:t>Rack</w:t>
            </w:r>
            <w:proofErr w:type="spellEnd"/>
            <w:r w:rsidRPr="00893C40">
              <w:rPr>
                <w:sz w:val="20"/>
              </w:rPr>
              <w:t xml:space="preserve"> 19</w:t>
            </w:r>
            <w:r>
              <w:rPr>
                <w:sz w:val="20"/>
              </w:rPr>
              <w:t>”</w:t>
            </w:r>
            <w:r w:rsidRPr="00893C40">
              <w:rPr>
                <w:sz w:val="20"/>
              </w:rPr>
              <w:t xml:space="preserve">, wysokość nie więcej niż </w:t>
            </w:r>
            <w:r>
              <w:rPr>
                <w:sz w:val="20"/>
              </w:rPr>
              <w:t>1</w:t>
            </w:r>
            <w:r w:rsidRPr="00893C40">
              <w:rPr>
                <w:sz w:val="20"/>
              </w:rPr>
              <w:t>U, z zestawem szyn do mocowania w szafie i wysuwania do celów serwisowych.</w:t>
            </w:r>
            <w:r>
              <w:rPr>
                <w:sz w:val="20"/>
              </w:rPr>
              <w:t xml:space="preserve"> Dostarczenie kompletnego okablowania do podłączenia zasilania 230V.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25AF5A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7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C4CEEF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7E33AFCA" w14:textId="77777777" w:rsidTr="007D2015"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E6C3742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Płyta główna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8909B4B" w14:textId="77777777" w:rsidR="007D2015" w:rsidRPr="00893C40" w:rsidRDefault="007D2015" w:rsidP="00C3175C">
            <w:pPr>
              <w:rPr>
                <w:sz w:val="20"/>
              </w:rPr>
            </w:pPr>
            <w:r w:rsidRPr="00893C40">
              <w:rPr>
                <w:sz w:val="20"/>
              </w:rPr>
              <w:t xml:space="preserve">Płyta główna dedykowana do pracy w serwerach, wyprodukowana przez producenta serwera z możliwością zainstalowania do </w:t>
            </w:r>
            <w:r>
              <w:rPr>
                <w:sz w:val="20"/>
              </w:rPr>
              <w:t>dwóch p</w:t>
            </w:r>
            <w:r w:rsidRPr="00893C40">
              <w:rPr>
                <w:sz w:val="20"/>
              </w:rPr>
              <w:t>rocesorów wykonujących 64-bitowe instrukcje AMD64 lub EM64T (np. Intel Xeon)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A26E8E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7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77FD0E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60FAFBB9" w14:textId="77777777" w:rsidTr="007D2015"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FEBD0F2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Chipset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4BB916E" w14:textId="77777777" w:rsidR="007D2015" w:rsidRDefault="007D2015" w:rsidP="00C3175C">
            <w:r>
              <w:rPr>
                <w:bCs/>
                <w:sz w:val="20"/>
                <w:szCs w:val="20"/>
              </w:rPr>
              <w:t>Dedykowany przez producenta do pracy w serwerach dwuprocesorowych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AC707AC" w14:textId="77777777" w:rsidR="007D2015" w:rsidRDefault="007D2015" w:rsidP="00C3175C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07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7E1BBD" w14:textId="77777777" w:rsidR="007D2015" w:rsidRDefault="007D2015" w:rsidP="00C3175C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D2015" w14:paraId="68ADA151" w14:textId="77777777" w:rsidTr="007D2015"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797CEC9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Procesor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5E4C20C" w14:textId="77777777" w:rsidR="007D2015" w:rsidRDefault="007D2015" w:rsidP="00C3175C">
            <w:r w:rsidRPr="00893C40">
              <w:rPr>
                <w:sz w:val="20"/>
              </w:rPr>
              <w:t xml:space="preserve">Architektura x86, maksymalny TDP dla procesora – </w:t>
            </w:r>
            <w:r>
              <w:rPr>
                <w:sz w:val="20"/>
              </w:rPr>
              <w:t>140W</w:t>
            </w:r>
            <w:r w:rsidRPr="00893C40">
              <w:rPr>
                <w:sz w:val="20"/>
              </w:rPr>
              <w:t xml:space="preserve">. Minimalna ilość rdzeni dla procesora </w:t>
            </w:r>
            <w:r w:rsidRPr="002627DA">
              <w:rPr>
                <w:sz w:val="20"/>
              </w:rPr>
              <w:t>– 8</w:t>
            </w:r>
            <w:r>
              <w:rPr>
                <w:sz w:val="20"/>
              </w:rPr>
              <w:t>, zegar min 3.2GHz.</w:t>
            </w:r>
            <w:r w:rsidRPr="00893C40">
              <w:rPr>
                <w:sz w:val="20"/>
              </w:rPr>
              <w:t xml:space="preserve"> </w:t>
            </w:r>
            <w:r>
              <w:rPr>
                <w:sz w:val="20"/>
              </w:rPr>
              <w:t>Wsparcie dla procesorów do 40 rdzeni o mocy do 270W.</w:t>
            </w:r>
            <w:r>
              <w:rPr>
                <w:bCs/>
                <w:sz w:val="20"/>
                <w:szCs w:val="20"/>
              </w:rPr>
              <w:t xml:space="preserve">Procesory muszą pochodzić z bieżącej oferty </w:t>
            </w:r>
            <w:r>
              <w:rPr>
                <w:bCs/>
                <w:sz w:val="20"/>
                <w:szCs w:val="20"/>
              </w:rPr>
              <w:lastRenderedPageBreak/>
              <w:t>producenta. Liczba zainstalowanych procesorów fizycznych: 2.</w:t>
            </w:r>
          </w:p>
          <w:p w14:paraId="23F515B6" w14:textId="77777777" w:rsidR="007D2015" w:rsidRDefault="007D2015" w:rsidP="00C31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Ze względu na możliwość podłączenia serwera do klastra </w:t>
            </w:r>
            <w:proofErr w:type="spellStart"/>
            <w:r>
              <w:rPr>
                <w:bCs/>
                <w:sz w:val="20"/>
                <w:szCs w:val="20"/>
              </w:rPr>
              <w:t>VMware</w:t>
            </w:r>
            <w:proofErr w:type="spellEnd"/>
            <w:r>
              <w:rPr>
                <w:bCs/>
                <w:sz w:val="20"/>
                <w:szCs w:val="20"/>
              </w:rPr>
              <w:t>, procesory muszą pochodzić od producenta firmy Intel.</w:t>
            </w:r>
          </w:p>
          <w:p w14:paraId="0C4EA84F" w14:textId="77777777" w:rsidR="007D2015" w:rsidRPr="00893C40" w:rsidRDefault="007D2015" w:rsidP="00C3175C">
            <w:pPr>
              <w:rPr>
                <w:sz w:val="20"/>
              </w:rPr>
            </w:pPr>
            <w:r w:rsidRPr="00430ADF">
              <w:rPr>
                <w:b/>
                <w:bCs/>
                <w:sz w:val="20"/>
                <w:szCs w:val="20"/>
              </w:rPr>
              <w:t>Procesor graficzny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893C40">
              <w:rPr>
                <w:sz w:val="20"/>
              </w:rPr>
              <w:t xml:space="preserve">Zintegrowana karta graficzna z minimum 16MB pamięci osiągająca rozdzielczość 1920x1200 przy 60 </w:t>
            </w:r>
            <w:proofErr w:type="spellStart"/>
            <w:r w:rsidRPr="00893C40">
              <w:rPr>
                <w:sz w:val="20"/>
              </w:rPr>
              <w:t>Hz</w:t>
            </w:r>
            <w:proofErr w:type="spellEnd"/>
            <w:r w:rsidRPr="00893C40">
              <w:rPr>
                <w:sz w:val="20"/>
              </w:rPr>
              <w:t>.</w:t>
            </w:r>
          </w:p>
          <w:p w14:paraId="409B9339" w14:textId="77777777" w:rsidR="007D2015" w:rsidRDefault="007D2015" w:rsidP="00C3175C">
            <w:r>
              <w:rPr>
                <w:sz w:val="20"/>
              </w:rPr>
              <w:t xml:space="preserve">Opcjonalny </w:t>
            </w:r>
            <w:r w:rsidRPr="00893C40">
              <w:rPr>
                <w:sz w:val="20"/>
              </w:rPr>
              <w:t xml:space="preserve">1 port VGA na przednim panelu serwera. </w:t>
            </w:r>
            <w:r>
              <w:rPr>
                <w:sz w:val="20"/>
              </w:rPr>
              <w:t>1 port VGA z tyłu serwera.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6BD836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7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5255AC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6CF13BE4" w14:textId="77777777" w:rsidTr="007D2015"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812879A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RAM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9E8FD5B" w14:textId="77777777" w:rsidR="007D2015" w:rsidRDefault="007D2015" w:rsidP="00C3175C">
            <w:r w:rsidRPr="00893C40">
              <w:rPr>
                <w:sz w:val="20"/>
              </w:rPr>
              <w:t xml:space="preserve">Zainstalowane minimum </w:t>
            </w:r>
            <w:r w:rsidRPr="002627DA">
              <w:rPr>
                <w:sz w:val="20"/>
              </w:rPr>
              <w:t>64GB</w:t>
            </w:r>
            <w:r>
              <w:rPr>
                <w:sz w:val="20"/>
              </w:rPr>
              <w:t xml:space="preserve"> p</w:t>
            </w:r>
            <w:r w:rsidRPr="00893C40">
              <w:rPr>
                <w:sz w:val="20"/>
              </w:rPr>
              <w:t xml:space="preserve">amięci RAM o częstotliwości </w:t>
            </w:r>
            <w:r>
              <w:rPr>
                <w:sz w:val="20"/>
              </w:rPr>
              <w:t>3200</w:t>
            </w:r>
            <w:r w:rsidRPr="00893C40">
              <w:rPr>
                <w:sz w:val="20"/>
              </w:rPr>
              <w:t xml:space="preserve">MHz w kościach </w:t>
            </w:r>
            <w:r>
              <w:rPr>
                <w:sz w:val="20"/>
              </w:rPr>
              <w:t>32</w:t>
            </w:r>
            <w:r w:rsidRPr="00893C40">
              <w:rPr>
                <w:sz w:val="20"/>
              </w:rPr>
              <w:t xml:space="preserve">GB. Minimum </w:t>
            </w:r>
            <w:r>
              <w:rPr>
                <w:sz w:val="20"/>
              </w:rPr>
              <w:t>32</w:t>
            </w:r>
            <w:r w:rsidRPr="00893C40">
              <w:rPr>
                <w:sz w:val="20"/>
              </w:rPr>
              <w:t xml:space="preserve"> </w:t>
            </w:r>
            <w:proofErr w:type="spellStart"/>
            <w:r w:rsidRPr="00893C40">
              <w:rPr>
                <w:sz w:val="20"/>
              </w:rPr>
              <w:t>sloty</w:t>
            </w:r>
            <w:proofErr w:type="spellEnd"/>
            <w:r w:rsidRPr="00893C40">
              <w:rPr>
                <w:sz w:val="20"/>
              </w:rPr>
              <w:t xml:space="preserve"> na pamięć. Mo</w:t>
            </w:r>
            <w:r>
              <w:rPr>
                <w:sz w:val="20"/>
              </w:rPr>
              <w:t>ż</w:t>
            </w:r>
            <w:r w:rsidRPr="00893C40">
              <w:rPr>
                <w:sz w:val="20"/>
              </w:rPr>
              <w:t xml:space="preserve">liwość rozbudowy do </w:t>
            </w:r>
            <w:r>
              <w:rPr>
                <w:sz w:val="20"/>
              </w:rPr>
              <w:t>1</w:t>
            </w:r>
            <w:r w:rsidRPr="00893C40">
              <w:rPr>
                <w:sz w:val="20"/>
              </w:rPr>
              <w:t>TB RAM</w:t>
            </w:r>
            <w:r>
              <w:rPr>
                <w:sz w:val="20"/>
              </w:rPr>
              <w:t xml:space="preserve"> bez wyciągania kości</w:t>
            </w:r>
            <w:r w:rsidRPr="00893C40">
              <w:rPr>
                <w:sz w:val="20"/>
              </w:rPr>
              <w:t>.</w:t>
            </w:r>
            <w:r>
              <w:rPr>
                <w:sz w:val="20"/>
              </w:rPr>
              <w:t xml:space="preserve"> Możliwość instalacji pamięci nieulotnych Intel </w:t>
            </w:r>
            <w:proofErr w:type="spellStart"/>
            <w:r>
              <w:rPr>
                <w:sz w:val="20"/>
              </w:rPr>
              <w:t>Optane</w:t>
            </w:r>
            <w:proofErr w:type="spellEnd"/>
            <w:r>
              <w:rPr>
                <w:sz w:val="20"/>
              </w:rPr>
              <w:t xml:space="preserve"> PM200. Maksymalnie nawet do 8TB RAM (przy odpowiednim układzie pamięci).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A4C60CD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7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2A8306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6CC2FE64" w14:textId="77777777" w:rsidTr="007D2015"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D939B4D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Zabezpieczenia pamięci RAM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2B9D462" w14:textId="67EB1C67" w:rsidR="00B5547E" w:rsidRPr="00C31A77" w:rsidRDefault="00B5547E" w:rsidP="00C3175C">
            <w:pPr>
              <w:rPr>
                <w:b/>
                <w:bCs/>
                <w:sz w:val="20"/>
                <w:szCs w:val="20"/>
              </w:rPr>
            </w:pPr>
            <w:r w:rsidRPr="00C31A77">
              <w:rPr>
                <w:b/>
                <w:bCs/>
                <w:sz w:val="20"/>
                <w:szCs w:val="20"/>
              </w:rPr>
              <w:t xml:space="preserve">Memory mirroring, ECC, SDDC, ADDDC lub równoważne zabezpieczenia, np.:  Advanced ECC, Memory </w:t>
            </w:r>
            <w:proofErr w:type="spellStart"/>
            <w:r w:rsidRPr="00C31A77">
              <w:rPr>
                <w:b/>
                <w:bCs/>
                <w:sz w:val="20"/>
                <w:szCs w:val="20"/>
              </w:rPr>
              <w:t>Page</w:t>
            </w:r>
            <w:proofErr w:type="spellEnd"/>
            <w:r w:rsidRPr="00C31A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1A77">
              <w:rPr>
                <w:b/>
                <w:bCs/>
                <w:sz w:val="20"/>
                <w:szCs w:val="20"/>
              </w:rPr>
              <w:t>Retire</w:t>
            </w:r>
            <w:proofErr w:type="spellEnd"/>
            <w:r w:rsidRPr="00C31A77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31A77">
              <w:rPr>
                <w:b/>
                <w:bCs/>
                <w:sz w:val="20"/>
                <w:szCs w:val="20"/>
              </w:rPr>
              <w:t>Fault</w:t>
            </w:r>
            <w:proofErr w:type="spellEnd"/>
            <w:r w:rsidRPr="00C31A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1A77">
              <w:rPr>
                <w:b/>
                <w:bCs/>
                <w:sz w:val="20"/>
                <w:szCs w:val="20"/>
              </w:rPr>
              <w:t>Resilient</w:t>
            </w:r>
            <w:proofErr w:type="spellEnd"/>
            <w:r w:rsidRPr="00C31A77">
              <w:rPr>
                <w:b/>
                <w:bCs/>
                <w:sz w:val="20"/>
                <w:szCs w:val="20"/>
              </w:rPr>
              <w:t xml:space="preserve"> Memory.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E156D5F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7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11B113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3BAB4B54" w14:textId="77777777" w:rsidTr="007D2015"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FA63007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Gniazda PCI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8D2D05" w14:textId="77777777" w:rsidR="007D2015" w:rsidRDefault="007D2015" w:rsidP="00C3175C">
            <w:r w:rsidRPr="00893C40">
              <w:rPr>
                <w:sz w:val="20"/>
              </w:rPr>
              <w:t xml:space="preserve">Obudowa z obsługą </w:t>
            </w:r>
            <w:r>
              <w:rPr>
                <w:sz w:val="20"/>
              </w:rPr>
              <w:t xml:space="preserve">do 3 slotów </w:t>
            </w:r>
            <w:proofErr w:type="spellStart"/>
            <w:r w:rsidRPr="00893C40">
              <w:rPr>
                <w:sz w:val="20"/>
              </w:rPr>
              <w:t>PCIe</w:t>
            </w:r>
            <w:proofErr w:type="spellEnd"/>
            <w:r>
              <w:rPr>
                <w:sz w:val="20"/>
              </w:rPr>
              <w:t xml:space="preserve"> gen. 4 </w:t>
            </w:r>
            <w:r w:rsidRPr="00893C40">
              <w:rPr>
                <w:sz w:val="20"/>
              </w:rPr>
              <w:t xml:space="preserve"> i </w:t>
            </w:r>
            <w:r>
              <w:rPr>
                <w:sz w:val="20"/>
              </w:rPr>
              <w:t>do 3</w:t>
            </w:r>
            <w:r w:rsidRPr="00893C40">
              <w:rPr>
                <w:sz w:val="20"/>
              </w:rPr>
              <w:t xml:space="preserve"> kart GPU</w:t>
            </w:r>
            <w:r>
              <w:rPr>
                <w:sz w:val="20"/>
              </w:rPr>
              <w:t xml:space="preserve"> (do 16GB RAM każda)</w:t>
            </w:r>
            <w:r w:rsidRPr="00893C40">
              <w:rPr>
                <w:sz w:val="20"/>
              </w:rPr>
              <w:t xml:space="preserve">. </w:t>
            </w:r>
            <w:r>
              <w:rPr>
                <w:sz w:val="20"/>
              </w:rPr>
              <w:t>Dodatkowy port na kartę OCP.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40506A9" w14:textId="77777777" w:rsidR="007D2015" w:rsidRDefault="007D2015" w:rsidP="00C3175C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7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DD6654" w14:textId="77777777" w:rsidR="007D2015" w:rsidRDefault="007D2015" w:rsidP="00C3175C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D2015" w14:paraId="4218EF84" w14:textId="77777777" w:rsidTr="007D2015"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575B2CD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Interfejsy sieciowe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F5941C7" w14:textId="4226B45B" w:rsidR="007D2015" w:rsidRPr="00893C40" w:rsidRDefault="008031FE" w:rsidP="00C3175C">
            <w:pPr>
              <w:rPr>
                <w:sz w:val="20"/>
              </w:rPr>
            </w:pPr>
            <w:r>
              <w:rPr>
                <w:sz w:val="20"/>
              </w:rPr>
              <w:t>J</w:t>
            </w:r>
            <w:r w:rsidR="007D2015" w:rsidRPr="00893C40">
              <w:rPr>
                <w:sz w:val="20"/>
              </w:rPr>
              <w:t xml:space="preserve">eden port RJ-45 o przepustowości 1GbE dedykowany dla karty zarządzającej. </w:t>
            </w:r>
          </w:p>
          <w:p w14:paraId="1E3D714C" w14:textId="77777777" w:rsidR="007D2015" w:rsidRPr="00893C40" w:rsidRDefault="007D2015" w:rsidP="00C3175C">
            <w:pPr>
              <w:rPr>
                <w:sz w:val="20"/>
              </w:rPr>
            </w:pPr>
            <w:r>
              <w:rPr>
                <w:sz w:val="20"/>
              </w:rPr>
              <w:t>Jedna  k</w:t>
            </w:r>
            <w:r w:rsidRPr="00893C40">
              <w:rPr>
                <w:sz w:val="20"/>
              </w:rPr>
              <w:t>art</w:t>
            </w:r>
            <w:r>
              <w:rPr>
                <w:sz w:val="20"/>
              </w:rPr>
              <w:t>y</w:t>
            </w:r>
            <w:r w:rsidRPr="00893C40">
              <w:rPr>
                <w:sz w:val="20"/>
              </w:rPr>
              <w:t xml:space="preserve"> dwuportow</w:t>
            </w:r>
            <w:r>
              <w:rPr>
                <w:sz w:val="20"/>
              </w:rPr>
              <w:t>a</w:t>
            </w:r>
            <w:r w:rsidRPr="00893C40">
              <w:rPr>
                <w:sz w:val="20"/>
              </w:rPr>
              <w:t xml:space="preserve"> 10</w:t>
            </w:r>
            <w:r>
              <w:rPr>
                <w:sz w:val="20"/>
              </w:rPr>
              <w:t>/25</w:t>
            </w:r>
            <w:r w:rsidRPr="00893C40">
              <w:rPr>
                <w:sz w:val="20"/>
              </w:rPr>
              <w:t>Gb SFP+</w:t>
            </w:r>
            <w:r>
              <w:rPr>
                <w:sz w:val="20"/>
              </w:rPr>
              <w:t>, wraz z wkładkami SFP+ 10Gb (</w:t>
            </w:r>
            <w:proofErr w:type="spellStart"/>
            <w:r>
              <w:rPr>
                <w:sz w:val="20"/>
              </w:rPr>
              <w:t>multi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</w:t>
            </w:r>
            <w:proofErr w:type="spellEnd"/>
            <w:r>
              <w:rPr>
                <w:sz w:val="20"/>
              </w:rPr>
              <w:t>) – wymagane dostarczenie wkładek,</w:t>
            </w:r>
          </w:p>
          <w:p w14:paraId="363029C8" w14:textId="759B678D" w:rsidR="007D2015" w:rsidRDefault="007438E5" w:rsidP="00C3175C">
            <w:r>
              <w:rPr>
                <w:sz w:val="20"/>
              </w:rPr>
              <w:t>Minimum dwie karty dwuportowe</w:t>
            </w:r>
            <w:r w:rsidR="007D2015">
              <w:rPr>
                <w:sz w:val="20"/>
              </w:rPr>
              <w:t xml:space="preserve"> FC </w:t>
            </w:r>
            <w:r>
              <w:rPr>
                <w:sz w:val="20"/>
              </w:rPr>
              <w:t xml:space="preserve"> SAN </w:t>
            </w:r>
            <w:r w:rsidR="007D2015">
              <w:rPr>
                <w:sz w:val="20"/>
              </w:rPr>
              <w:t xml:space="preserve">8/16Gb, z zainstalowanymi </w:t>
            </w:r>
            <w:r w:rsidR="007D2015">
              <w:rPr>
                <w:sz w:val="20"/>
              </w:rPr>
              <w:lastRenderedPageBreak/>
              <w:t xml:space="preserve">wkładkami umożliwiającymi obsługę SAN FC 8Gb/s – wymagane dostarczenie wkładek FC. Zamawiający wymaga również dostarczenia tyle samo wkładek SAN FC do będącego w zasobach </w:t>
            </w:r>
            <w:r w:rsidR="007D2015" w:rsidRPr="00824C1C">
              <w:rPr>
                <w:bCs/>
                <w:color w:val="000000"/>
                <w:sz w:val="20"/>
                <w:szCs w:val="20"/>
              </w:rPr>
              <w:t xml:space="preserve">Zamawiającego </w:t>
            </w:r>
            <w:r w:rsidR="007D2015">
              <w:rPr>
                <w:bCs/>
                <w:color w:val="000000"/>
                <w:sz w:val="20"/>
                <w:szCs w:val="20"/>
              </w:rPr>
              <w:t xml:space="preserve">przełącznika SAN FC- </w:t>
            </w:r>
            <w:r w:rsidR="007D2015" w:rsidRPr="00824C1C">
              <w:rPr>
                <w:bCs/>
                <w:color w:val="000000"/>
                <w:sz w:val="20"/>
                <w:szCs w:val="20"/>
              </w:rPr>
              <w:t xml:space="preserve">Cisco </w:t>
            </w:r>
            <w:proofErr w:type="spellStart"/>
            <w:r w:rsidR="007D2015" w:rsidRPr="00824C1C">
              <w:rPr>
                <w:bCs/>
                <w:color w:val="000000"/>
                <w:sz w:val="20"/>
                <w:szCs w:val="20"/>
              </w:rPr>
              <w:t>Nexus</w:t>
            </w:r>
            <w:proofErr w:type="spellEnd"/>
            <w:r w:rsidR="007D2015" w:rsidRPr="00824C1C">
              <w:rPr>
                <w:bCs/>
                <w:color w:val="000000"/>
                <w:sz w:val="20"/>
                <w:szCs w:val="20"/>
              </w:rPr>
              <w:t xml:space="preserve"> 5596UP</w:t>
            </w:r>
            <w:r w:rsidR="007D2015">
              <w:rPr>
                <w:bCs/>
                <w:color w:val="000000"/>
                <w:sz w:val="20"/>
                <w:szCs w:val="20"/>
              </w:rPr>
              <w:t>. Moduły FC nie muszą pochodzić od tego samego producenta, co wymieniony w tym miejscu przełącznik SAN.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BFA7D5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7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968FD7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5A6A418B" w14:textId="77777777" w:rsidTr="007D2015"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1A96E93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Dyski twarde i kontroler RAID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C03CC26" w14:textId="77777777" w:rsidR="007D2015" w:rsidRDefault="007D2015" w:rsidP="00C3175C">
            <w:r w:rsidRPr="00893C40">
              <w:rPr>
                <w:sz w:val="20"/>
              </w:rPr>
              <w:t>W chwili dostawy każdy serwer musi posiadać zainstalowane minimum 2 dyski SSD</w:t>
            </w:r>
            <w:r>
              <w:rPr>
                <w:sz w:val="20"/>
              </w:rPr>
              <w:t xml:space="preserve"> o p</w:t>
            </w:r>
            <w:r w:rsidRPr="00893C40">
              <w:rPr>
                <w:sz w:val="20"/>
              </w:rPr>
              <w:t xml:space="preserve">ojemności nie mniejszej niż </w:t>
            </w:r>
            <w:r>
              <w:rPr>
                <w:sz w:val="20"/>
              </w:rPr>
              <w:t>48</w:t>
            </w:r>
            <w:r w:rsidRPr="004A34A1">
              <w:rPr>
                <w:sz w:val="20"/>
              </w:rPr>
              <w:t>0GB</w:t>
            </w:r>
            <w:r>
              <w:rPr>
                <w:sz w:val="20"/>
              </w:rPr>
              <w:t xml:space="preserve"> Mixed </w:t>
            </w:r>
            <w:proofErr w:type="spellStart"/>
            <w:r>
              <w:rPr>
                <w:sz w:val="20"/>
              </w:rPr>
              <w:t>Use</w:t>
            </w:r>
            <w:proofErr w:type="spellEnd"/>
            <w:r>
              <w:rPr>
                <w:sz w:val="20"/>
              </w:rPr>
              <w:t xml:space="preserve">, hot </w:t>
            </w:r>
            <w:proofErr w:type="spellStart"/>
            <w:r>
              <w:rPr>
                <w:sz w:val="20"/>
              </w:rPr>
              <w:t>swap</w:t>
            </w:r>
            <w:proofErr w:type="spellEnd"/>
            <w:r>
              <w:rPr>
                <w:sz w:val="20"/>
              </w:rPr>
              <w:t xml:space="preserve">, z kontrolerem SATA/SAS umożliwiającym  konfiguracji w RAID 0,1,5.. </w:t>
            </w:r>
            <w:r w:rsidRPr="00893C40">
              <w:rPr>
                <w:sz w:val="20"/>
              </w:rPr>
              <w:t>Możliwość instalacji do</w:t>
            </w:r>
            <w:r>
              <w:rPr>
                <w:sz w:val="20"/>
              </w:rPr>
              <w:t xml:space="preserve"> min.</w:t>
            </w:r>
            <w:r w:rsidRPr="00893C4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893C40">
              <w:rPr>
                <w:sz w:val="20"/>
              </w:rPr>
              <w:t xml:space="preserve"> dysków 2.5”</w:t>
            </w:r>
            <w:r>
              <w:rPr>
                <w:sz w:val="20"/>
              </w:rPr>
              <w:t xml:space="preserve"> SSD / SATA z kontrolerem SATA/SAS. 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8BBCA55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507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4E1AE4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7D2015" w14:paraId="511418CC" w14:textId="77777777" w:rsidTr="007D2015"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9614B7C" w14:textId="77777777" w:rsidR="007D2015" w:rsidRDefault="007D2015" w:rsidP="00C3175C">
            <w:pPr>
              <w:jc w:val="center"/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Wbudowane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499B3A7" w14:textId="2EEFF2E8" w:rsidR="00B5547E" w:rsidRPr="00C31A77" w:rsidRDefault="00B5547E" w:rsidP="00C3175C">
            <w:pPr>
              <w:rPr>
                <w:b/>
                <w:bCs/>
                <w:strike/>
                <w:sz w:val="20"/>
                <w:szCs w:val="20"/>
              </w:rPr>
            </w:pPr>
            <w:r w:rsidRPr="00C31A77">
              <w:rPr>
                <w:b/>
                <w:bCs/>
                <w:sz w:val="20"/>
                <w:szCs w:val="20"/>
              </w:rPr>
              <w:t>5x USB, z czego minimum 3 porty w standardzie USB 3.1, VGA</w:t>
            </w:r>
            <w:r w:rsidRPr="00C31A77">
              <w:rPr>
                <w:b/>
                <w:bCs/>
                <w:strike/>
                <w:sz w:val="20"/>
                <w:szCs w:val="20"/>
              </w:rPr>
              <w:t>.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78E052D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7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6984B0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33114C6F" w14:textId="77777777" w:rsidTr="007D2015"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B08212E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Wentylatory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1ED97BC" w14:textId="77777777" w:rsidR="007D2015" w:rsidRDefault="007D2015" w:rsidP="00C3175C">
            <w:proofErr w:type="spellStart"/>
            <w:r>
              <w:rPr>
                <w:sz w:val="20"/>
              </w:rPr>
              <w:t>Redundatne</w:t>
            </w:r>
            <w:proofErr w:type="spellEnd"/>
            <w:r>
              <w:rPr>
                <w:sz w:val="20"/>
              </w:rPr>
              <w:t xml:space="preserve"> wentylatory N+1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2E2DFB7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7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AD2FD7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619E4B79" w14:textId="77777777" w:rsidTr="007D2015"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9AE0595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Zasilacze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418F500" w14:textId="77777777" w:rsidR="007D2015" w:rsidRDefault="007D2015" w:rsidP="00C3175C">
            <w:r w:rsidRPr="00745207">
              <w:rPr>
                <w:sz w:val="20"/>
              </w:rPr>
              <w:t>Minimum dwa redundantne zasilacze o mocy minimum 750W</w:t>
            </w:r>
            <w:r>
              <w:rPr>
                <w:sz w:val="20"/>
              </w:rPr>
              <w:t xml:space="preserve"> (AC 230V)</w:t>
            </w:r>
            <w:r w:rsidRPr="00745207">
              <w:rPr>
                <w:sz w:val="20"/>
              </w:rPr>
              <w:t xml:space="preserve"> z certyfikatem minimum Platinum.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7BF2F8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7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24D223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7CD8FB47" w14:textId="77777777" w:rsidTr="007D2015"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0C25B18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Zarządzanie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B2D5E0C" w14:textId="77777777" w:rsidR="007D2015" w:rsidRDefault="007D2015" w:rsidP="00C3175C">
            <w:pPr>
              <w:tabs>
                <w:tab w:val="left" w:pos="0"/>
              </w:tabs>
              <w:suppressAutoHyphens w:val="0"/>
            </w:pPr>
            <w:r w:rsidRPr="00893C40">
              <w:rPr>
                <w:sz w:val="20"/>
              </w:rPr>
              <w:t xml:space="preserve">Możliwość zdalnego zarządzania serwerem, udostępniania zdalnej konsoli graficznej i podłączania zdalnych napędów. </w:t>
            </w:r>
            <w:r>
              <w:rPr>
                <w:sz w:val="20"/>
              </w:rPr>
              <w:t>Dodatkowo opcjonalna l</w:t>
            </w:r>
            <w:r w:rsidRPr="00893C40">
              <w:rPr>
                <w:sz w:val="20"/>
              </w:rPr>
              <w:t>icencja na zarządzanie farmą serwerów tego samego typu – pozwalająca na automatyzację zadań administratora.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67D99EB" w14:textId="77777777" w:rsidR="007D2015" w:rsidRDefault="007D2015" w:rsidP="00C3175C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07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86C8F9" w14:textId="77777777" w:rsidR="007D2015" w:rsidRDefault="007D2015" w:rsidP="00C3175C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D2015" w14:paraId="2B4329F2" w14:textId="77777777" w:rsidTr="007D2015"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B2CD8B1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Funkcje bezpieczeństwa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281C88D" w14:textId="77777777" w:rsidR="007D2015" w:rsidRDefault="007D2015" w:rsidP="00C3175C">
            <w:r w:rsidRPr="00893C40">
              <w:rPr>
                <w:sz w:val="20"/>
              </w:rPr>
              <w:t>Hasło włączania, hasło administratora, moduł TPM (wspierający TPM 2.0). Możliwość użycia fun</w:t>
            </w:r>
            <w:r>
              <w:rPr>
                <w:sz w:val="20"/>
              </w:rPr>
              <w:t>k</w:t>
            </w:r>
            <w:r w:rsidRPr="00893C40">
              <w:rPr>
                <w:sz w:val="20"/>
              </w:rPr>
              <w:t xml:space="preserve">cji </w:t>
            </w:r>
            <w:proofErr w:type="spellStart"/>
            <w:r w:rsidRPr="00893C40">
              <w:rPr>
                <w:sz w:val="20"/>
              </w:rPr>
              <w:t>Secure</w:t>
            </w:r>
            <w:proofErr w:type="spellEnd"/>
            <w:r w:rsidRPr="00893C40">
              <w:rPr>
                <w:sz w:val="20"/>
              </w:rPr>
              <w:t xml:space="preserve"> </w:t>
            </w:r>
            <w:proofErr w:type="spellStart"/>
            <w:r w:rsidRPr="00893C40">
              <w:rPr>
                <w:sz w:val="20"/>
              </w:rPr>
              <w:t>Boot</w:t>
            </w:r>
            <w:proofErr w:type="spellEnd"/>
            <w:r w:rsidRPr="00893C40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Opcjonalna przednia obudowa </w:t>
            </w:r>
            <w:r>
              <w:rPr>
                <w:sz w:val="20"/>
              </w:rPr>
              <w:lastRenderedPageBreak/>
              <w:t>zamykana na klucz. Opcjonalny czujnik otwarcia obudowy.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7F7C9A6" w14:textId="77777777" w:rsidR="007D2015" w:rsidRDefault="007D2015" w:rsidP="00C3175C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07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FFCC07" w14:textId="77777777" w:rsidR="007D2015" w:rsidRDefault="007D2015" w:rsidP="00C3175C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D2015" w:rsidRPr="00F919C1" w14:paraId="7A4BF7B3" w14:textId="77777777" w:rsidTr="007D2015"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AACF710" w14:textId="77777777" w:rsidR="007D2015" w:rsidRDefault="007D2015" w:rsidP="00C317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Wspierane systemy operacyjne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88F0BF5" w14:textId="77777777" w:rsidR="007D2015" w:rsidRPr="00F919C1" w:rsidRDefault="007D2015" w:rsidP="00C3175C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Linux  x86 (64), VMware </w:t>
            </w:r>
            <w:proofErr w:type="spellStart"/>
            <w:r>
              <w:rPr>
                <w:sz w:val="20"/>
                <w:szCs w:val="20"/>
                <w:lang w:val="en-US"/>
              </w:rPr>
              <w:t>ESXi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(6 </w:t>
            </w:r>
            <w:proofErr w:type="spellStart"/>
            <w:r>
              <w:rPr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7</w:t>
            </w:r>
            <w:r w:rsidRPr="00F919C1">
              <w:rPr>
                <w:sz w:val="20"/>
                <w:szCs w:val="20"/>
                <w:lang w:val="en-US"/>
              </w:rPr>
              <w:t xml:space="preserve">) ,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Microsoft Windows Server 2019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2022.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Zamawiający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wymaga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dostarczenia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serwerem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system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operacyjnego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MS Windows 2019 w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wersji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Standard, z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możliwością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aktualizacji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bezpłatnej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wersji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2022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wersji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2022, z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możliwością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“downgrade”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bezpłatnego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wersji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2019.</w:t>
            </w:r>
            <w: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</w:t>
            </w:r>
            <w:r w:rsidRPr="000C1391">
              <w:rPr>
                <w:color w:val="000000"/>
                <w:sz w:val="20"/>
                <w:szCs w:val="20"/>
                <w:lang w:val="en-US"/>
              </w:rPr>
              <w:t>ożliwością</w:t>
            </w:r>
            <w:proofErr w:type="spellEnd"/>
            <w:r w:rsidRPr="000C139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1391">
              <w:rPr>
                <w:color w:val="000000"/>
                <w:sz w:val="20"/>
                <w:szCs w:val="20"/>
                <w:lang w:val="en-US"/>
              </w:rPr>
              <w:t>jego</w:t>
            </w:r>
            <w:proofErr w:type="spellEnd"/>
            <w:r w:rsidRPr="000C139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1391">
              <w:rPr>
                <w:color w:val="000000"/>
                <w:sz w:val="20"/>
                <w:szCs w:val="20"/>
                <w:lang w:val="en-US"/>
              </w:rPr>
              <w:t>aktualizacji</w:t>
            </w:r>
            <w:proofErr w:type="spellEnd"/>
            <w:r w:rsidRPr="000C1391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C1391">
              <w:rPr>
                <w:color w:val="000000"/>
                <w:sz w:val="20"/>
                <w:szCs w:val="20"/>
                <w:lang w:val="en-US"/>
              </w:rPr>
              <w:t>przez</w:t>
            </w:r>
            <w:proofErr w:type="spellEnd"/>
            <w:r w:rsidRPr="000C1391">
              <w:rPr>
                <w:color w:val="000000"/>
                <w:sz w:val="20"/>
                <w:szCs w:val="20"/>
                <w:lang w:val="en-US"/>
              </w:rPr>
              <w:t xml:space="preserve"> minimum 1 </w:t>
            </w:r>
            <w:proofErr w:type="spellStart"/>
            <w:r w:rsidRPr="000C1391">
              <w:rPr>
                <w:color w:val="000000"/>
                <w:sz w:val="20"/>
                <w:szCs w:val="20"/>
                <w:lang w:val="en-US"/>
              </w:rPr>
              <w:t>rok</w:t>
            </w:r>
            <w:proofErr w:type="spellEnd"/>
            <w:r w:rsidRPr="000C1391">
              <w:rPr>
                <w:color w:val="000000"/>
                <w:sz w:val="20"/>
                <w:szCs w:val="20"/>
                <w:lang w:val="en-US"/>
              </w:rPr>
              <w:t xml:space="preserve"> (z </w:t>
            </w:r>
            <w:proofErr w:type="spellStart"/>
            <w:r w:rsidRPr="000C1391">
              <w:rPr>
                <w:color w:val="000000"/>
                <w:sz w:val="20"/>
                <w:szCs w:val="20"/>
                <w:lang w:val="en-US"/>
              </w:rPr>
              <w:t>możliwością</w:t>
            </w:r>
            <w:proofErr w:type="spellEnd"/>
            <w:r w:rsidRPr="000C139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1391">
              <w:rPr>
                <w:color w:val="000000"/>
                <w:sz w:val="20"/>
                <w:szCs w:val="20"/>
                <w:lang w:val="en-US"/>
              </w:rPr>
              <w:t>przedłużenia</w:t>
            </w:r>
            <w:proofErr w:type="spellEnd"/>
            <w:r w:rsidRPr="000C1391">
              <w:rPr>
                <w:color w:val="000000"/>
                <w:sz w:val="20"/>
                <w:szCs w:val="20"/>
                <w:lang w:val="en-US"/>
              </w:rPr>
              <w:t xml:space="preserve"> o minimum </w:t>
            </w:r>
            <w:proofErr w:type="spellStart"/>
            <w:r w:rsidRPr="000C1391">
              <w:rPr>
                <w:color w:val="000000"/>
                <w:sz w:val="20"/>
                <w:szCs w:val="20"/>
                <w:lang w:val="en-US"/>
              </w:rPr>
              <w:t>dwa</w:t>
            </w:r>
            <w:proofErr w:type="spellEnd"/>
            <w:r w:rsidRPr="000C139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1391">
              <w:rPr>
                <w:color w:val="000000"/>
                <w:sz w:val="20"/>
                <w:szCs w:val="20"/>
                <w:lang w:val="en-US"/>
              </w:rPr>
              <w:t>lata</w:t>
            </w:r>
            <w:proofErr w:type="spellEnd"/>
            <w:r w:rsidRPr="000C1391">
              <w:rPr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Wymagana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jest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licencja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MS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wszystkie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cory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oferowanego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serwera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2CAAC77" w14:textId="77777777" w:rsidR="007D2015" w:rsidRPr="00F919C1" w:rsidRDefault="007D2015" w:rsidP="00C3175C">
            <w:pPr>
              <w:snapToGrid w:val="0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507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4731BD" w14:textId="77777777" w:rsidR="007D2015" w:rsidRPr="00F919C1" w:rsidRDefault="007D2015" w:rsidP="00C3175C">
            <w:pPr>
              <w:snapToGrid w:val="0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</w:tc>
      </w:tr>
      <w:tr w:rsidR="007D2015" w14:paraId="1B7E7491" w14:textId="77777777" w:rsidTr="007D2015"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F6A7846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Warunki gwarancji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ECCE494" w14:textId="77777777" w:rsidR="00171B8A" w:rsidRDefault="007D2015" w:rsidP="00C3175C">
            <w:pPr>
              <w:rPr>
                <w:sz w:val="20"/>
              </w:rPr>
            </w:pPr>
            <w:r>
              <w:rPr>
                <w:sz w:val="20"/>
              </w:rPr>
              <w:t>36 miesięcy gwarancji P</w:t>
            </w:r>
            <w:r w:rsidRPr="00893C40">
              <w:rPr>
                <w:sz w:val="20"/>
              </w:rPr>
              <w:t>roducenta</w:t>
            </w:r>
            <w:r>
              <w:rPr>
                <w:sz w:val="20"/>
              </w:rPr>
              <w:t xml:space="preserve"> lub autoryzowanego Partnera, z czasem reakcji NBD, zgodnie z oficjalną polityką Producenta, dostępną na stronach WWW</w:t>
            </w:r>
            <w:r w:rsidR="00171B8A">
              <w:rPr>
                <w:sz w:val="20"/>
              </w:rPr>
              <w:t xml:space="preserve"> ( PROSZĘ PODAĆ LINK DO STRONY WWW =&gt;)</w:t>
            </w:r>
            <w:r>
              <w:rPr>
                <w:sz w:val="20"/>
              </w:rPr>
              <w:t xml:space="preserve"> </w:t>
            </w:r>
          </w:p>
          <w:p w14:paraId="42950526" w14:textId="31637003" w:rsidR="007D2015" w:rsidRDefault="007D2015" w:rsidP="00C31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lub w oddzielnych dokumentach (w takim przypadku wymagane jest ich dostarczenie w formie elektronicznej w chwili składania oferty). Musi istnieć możliwość pobierania bezpośrednio ze stron WWW Producenta/Partnera najnowszych wersji oprogramowania / łat, w tym łat bezpieczeństwa.</w:t>
            </w:r>
          </w:p>
          <w:p w14:paraId="69F355F9" w14:textId="77777777" w:rsidR="007D2015" w:rsidRDefault="007D2015" w:rsidP="00C3175C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37362320" w14:textId="77777777" w:rsidR="007D2015" w:rsidRDefault="007D2015" w:rsidP="00C3175C">
            <w:pPr>
              <w:jc w:val="both"/>
            </w:pPr>
            <w:r>
              <w:rPr>
                <w:rFonts w:cs="Calibri"/>
                <w:sz w:val="20"/>
                <w:szCs w:val="20"/>
              </w:rPr>
              <w:t>Serwis urządzeń  realizowany bezpośrednio przez Producenta i/lub we współpracy z Autoryzowanym Partnerem Serwisowym Producenta.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2EE4B28" w14:textId="77777777" w:rsidR="007D2015" w:rsidRDefault="007D2015" w:rsidP="00C3175C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C610C6" w14:textId="77777777" w:rsidR="007D2015" w:rsidRDefault="007D2015" w:rsidP="00C3175C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7D2015" w14:paraId="374F7DC8" w14:textId="77777777" w:rsidTr="007D2015">
        <w:trPr>
          <w:trHeight w:val="230"/>
        </w:trPr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D4AA33C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365165B" w14:textId="77777777" w:rsidR="007D2015" w:rsidRDefault="007D2015" w:rsidP="00C3175C">
            <w:r>
              <w:rPr>
                <w:sz w:val="20"/>
                <w:szCs w:val="20"/>
              </w:rPr>
              <w:t>Zamawiający wymaga dokumentacji w języku polskim lub angielskim.</w:t>
            </w:r>
          </w:p>
          <w:p w14:paraId="28176791" w14:textId="77777777" w:rsidR="007D2015" w:rsidRDefault="007D2015" w:rsidP="00C3175C">
            <w:r>
              <w:rPr>
                <w:bCs/>
                <w:sz w:val="20"/>
                <w:szCs w:val="20"/>
              </w:rPr>
              <w:t xml:space="preserve">Możliwość telefonicznego sprawdzenia konfiguracji sprzętowej serwera oraz </w:t>
            </w:r>
            <w:r>
              <w:rPr>
                <w:bCs/>
                <w:sz w:val="20"/>
                <w:szCs w:val="20"/>
              </w:rPr>
              <w:lastRenderedPageBreak/>
              <w:t>warunków gwarancji po podaniu numeru seryjnego bezpośrednio u producenta lub jego przedstawiciela.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4ECFC98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7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A321AB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11EFD4BE" w14:textId="77777777" w:rsidTr="007D2015">
        <w:trPr>
          <w:trHeight w:val="230"/>
        </w:trPr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F992144" w14:textId="77777777" w:rsidR="007D2015" w:rsidRDefault="007D2015" w:rsidP="00C317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09E3613" w14:textId="77777777" w:rsidR="007D2015" w:rsidRDefault="007D2015" w:rsidP="00C3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 serwer jest fabrycznie nowy, i pochodzi z autoryzowanego kanału dystrybucyjnego Producenta dla terytorium RP.</w:t>
            </w:r>
          </w:p>
          <w:p w14:paraId="408D40DB" w14:textId="77777777" w:rsidR="007D2015" w:rsidRDefault="007D2015" w:rsidP="00C3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Serwer musi w pełni współpracować z oferowanym napędem </w:t>
            </w:r>
            <w:proofErr w:type="spellStart"/>
            <w:r>
              <w:rPr>
                <w:sz w:val="20"/>
                <w:szCs w:val="20"/>
              </w:rPr>
              <w:t>loaderem</w:t>
            </w:r>
            <w:proofErr w:type="spellEnd"/>
            <w:r>
              <w:rPr>
                <w:sz w:val="20"/>
                <w:szCs w:val="20"/>
              </w:rPr>
              <w:t xml:space="preserve"> – biblioteką taśmową LTO (po protokole SAN FC), oferowaną macierzą dyskową oraz posiadanym przez zamawiającego systemem do archiwizacji danych VEEAM BACKUP w wersji Enterprise. </w:t>
            </w:r>
          </w:p>
          <w:p w14:paraId="05FDF61E" w14:textId="77777777" w:rsidR="007D2015" w:rsidRPr="00824C1C" w:rsidRDefault="007D2015" w:rsidP="00C3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wymagane są dodatkowe licencje, w celu spełnienia wymaganych funkcjonalności (o ile w OPZ nie zaznaczono wyraźnie, że dana funkcjonalność nie jest przedmiotem niniejszego postępowania), niezbędne jest ich zaoferowanie w ramach tego postępowania. Wszystkie oferowane wraz z niniejszym serwerem licencje muszą mieć charakter wieczysty. </w:t>
            </w:r>
          </w:p>
          <w:p w14:paraId="7AD7873B" w14:textId="77777777" w:rsidR="007D2015" w:rsidRDefault="007D2015" w:rsidP="00C3175C"/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96BD453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7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BD5196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3C9BC34" w14:textId="77777777" w:rsidR="007D2015" w:rsidRDefault="007D2015" w:rsidP="007D2015">
      <w:pPr>
        <w:pStyle w:val="Zwykytekst1"/>
        <w:ind w:right="-1"/>
        <w:rPr>
          <w:rFonts w:ascii="Century Gothic" w:hAnsi="Century Gothic" w:cs="Century Gothic"/>
        </w:rPr>
      </w:pPr>
    </w:p>
    <w:p w14:paraId="7D45E75C" w14:textId="77777777" w:rsidR="007D2015" w:rsidRDefault="007D2015" w:rsidP="007D2015">
      <w:pPr>
        <w:pStyle w:val="Zwykytekst1"/>
        <w:ind w:right="-1"/>
        <w:rPr>
          <w:rFonts w:ascii="Century Gothic" w:hAnsi="Century Gothic" w:cs="Century Gothic"/>
        </w:rPr>
      </w:pPr>
    </w:p>
    <w:p w14:paraId="7DC9B7C5" w14:textId="77777777" w:rsidR="007D2015" w:rsidRDefault="007D2015" w:rsidP="007D2015">
      <w:pPr>
        <w:pStyle w:val="Zwykytekst1"/>
        <w:ind w:right="-1"/>
        <w:rPr>
          <w:rFonts w:ascii="Century Gothic" w:hAnsi="Century Gothic" w:cs="Century Gothic"/>
        </w:rPr>
      </w:pPr>
    </w:p>
    <w:p w14:paraId="3E9BEA71" w14:textId="77777777" w:rsidR="007D2015" w:rsidRPr="001F2966" w:rsidRDefault="007D2015" w:rsidP="007D2015">
      <w:pPr>
        <w:pStyle w:val="Zwykytekst1"/>
        <w:numPr>
          <w:ilvl w:val="1"/>
          <w:numId w:val="2"/>
        </w:numPr>
        <w:ind w:right="-1"/>
        <w:rPr>
          <w:rFonts w:ascii="Century Gothic" w:hAnsi="Century Gothic" w:cs="Century Gothic"/>
          <w:b/>
        </w:rPr>
      </w:pPr>
      <w:proofErr w:type="spellStart"/>
      <w:r w:rsidRPr="001F2966">
        <w:rPr>
          <w:rFonts w:ascii="Century Gothic" w:hAnsi="Century Gothic" w:cs="Century Gothic"/>
          <w:b/>
        </w:rPr>
        <w:t>Loader</w:t>
      </w:r>
      <w:proofErr w:type="spellEnd"/>
      <w:r w:rsidRPr="001F2966">
        <w:rPr>
          <w:rFonts w:ascii="Century Gothic" w:hAnsi="Century Gothic" w:cs="Century Gothic"/>
          <w:b/>
        </w:rPr>
        <w:t xml:space="preserve"> – biblioteka taśmowa LTO</w:t>
      </w:r>
    </w:p>
    <w:tbl>
      <w:tblPr>
        <w:tblW w:w="5000" w:type="pct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3360"/>
        <w:gridCol w:w="4047"/>
        <w:gridCol w:w="824"/>
        <w:gridCol w:w="1234"/>
        <w:gridCol w:w="1098"/>
        <w:gridCol w:w="743"/>
        <w:gridCol w:w="941"/>
      </w:tblGrid>
      <w:tr w:rsidR="007D2015" w14:paraId="57AF3552" w14:textId="77777777" w:rsidTr="00C3175C">
        <w:tc>
          <w:tcPr>
            <w:tcW w:w="1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E7DBDD9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3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8E93501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4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A334E9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Parametry oferowane (proszę wypełnić dokładnie niniejszy opis oraz podać producenta oraz typ/model oferowanego urządzenia wraz z nazwą, typem/modelem poszczególnych podzespołów składowych np. procesora, zasilaczy, wentylatora itp.)</w:t>
            </w: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31CEC6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Liczba szt.</w:t>
            </w: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D64CA2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46C05C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Wartość</w:t>
            </w:r>
          </w:p>
          <w:p w14:paraId="2B4E7DA3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D36A58F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%VAT</w:t>
            </w:r>
          </w:p>
        </w:tc>
        <w:tc>
          <w:tcPr>
            <w:tcW w:w="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47A6CDD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7D2015" w14:paraId="3B2B0397" w14:textId="77777777" w:rsidTr="00C3175C">
        <w:tc>
          <w:tcPr>
            <w:tcW w:w="52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79D7F39" w14:textId="77777777" w:rsidR="007D2015" w:rsidRDefault="007D2015" w:rsidP="00C3175C">
            <w:pPr>
              <w:snapToGrid w:val="0"/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Loader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biblioteka taśmowa LTO</w:t>
            </w:r>
          </w:p>
        </w:tc>
        <w:tc>
          <w:tcPr>
            <w:tcW w:w="4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026B83F" w14:textId="77777777" w:rsidR="007D2015" w:rsidRDefault="007D2015" w:rsidP="00C3175C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77438C" w14:textId="77777777" w:rsidR="007D2015" w:rsidRDefault="007D2015" w:rsidP="00C3175C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6712AC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442EE5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DC7DBEF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74D4A60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33E3962F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C3592F7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E540924" w14:textId="77777777" w:rsidR="007D2015" w:rsidRDefault="007D2015" w:rsidP="00C3175C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8EF63D8" w14:textId="77777777" w:rsidR="007D2015" w:rsidRDefault="007D2015" w:rsidP="00C3175C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D65765" w14:textId="77777777" w:rsidR="007D2015" w:rsidRDefault="007D2015" w:rsidP="00C3175C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D2015" w14:paraId="79966997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D055068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Typ/Model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FEA7CA0" w14:textId="77777777" w:rsidR="007D2015" w:rsidRDefault="007D2015" w:rsidP="00C3175C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1BBCD9C" w14:textId="77777777" w:rsidR="007D2015" w:rsidRDefault="007D2015" w:rsidP="00C3175C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B9817" w14:textId="77777777" w:rsidR="007D2015" w:rsidRDefault="007D2015" w:rsidP="00C3175C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D2015" w14:paraId="204297B6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A5DD1C0" w14:textId="77777777" w:rsidR="007D2015" w:rsidRPr="00CA5CAF" w:rsidRDefault="007D2015" w:rsidP="00C3175C">
            <w:pPr>
              <w:jc w:val="center"/>
              <w:rPr>
                <w:sz w:val="20"/>
                <w:szCs w:val="20"/>
              </w:rPr>
            </w:pPr>
            <w:r w:rsidRPr="00CA5CAF">
              <w:rPr>
                <w:b/>
                <w:sz w:val="20"/>
                <w:szCs w:val="20"/>
              </w:rPr>
              <w:t>Obudowa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C446B06" w14:textId="77777777" w:rsidR="007D2015" w:rsidRPr="00CA5CAF" w:rsidRDefault="007D2015" w:rsidP="00C3175C">
            <w:pPr>
              <w:rPr>
                <w:sz w:val="20"/>
                <w:szCs w:val="20"/>
              </w:rPr>
            </w:pPr>
            <w:r w:rsidRPr="00CA5CAF">
              <w:rPr>
                <w:sz w:val="20"/>
                <w:szCs w:val="20"/>
              </w:rPr>
              <w:t xml:space="preserve">Możliwość instalacji w szafie </w:t>
            </w:r>
            <w:proofErr w:type="spellStart"/>
            <w:r w:rsidRPr="00CA5CAF">
              <w:rPr>
                <w:sz w:val="20"/>
                <w:szCs w:val="20"/>
              </w:rPr>
              <w:t>Rack</w:t>
            </w:r>
            <w:proofErr w:type="spellEnd"/>
            <w:r w:rsidRPr="00CA5CAF">
              <w:rPr>
                <w:sz w:val="20"/>
                <w:szCs w:val="20"/>
              </w:rPr>
              <w:t xml:space="preserve"> 19", wysokość nie więcej niż 3U dla jednostki bazowej, i nie więcej niż 3U dla dodatkowych modułów rozszerzających, wyposażona w zestaw do montażu w stelażu</w:t>
            </w:r>
            <w:r>
              <w:rPr>
                <w:sz w:val="20"/>
                <w:szCs w:val="20"/>
              </w:rPr>
              <w:t>. Niezbędne jest dostarczenie wszystkich elementów mocujących oraz okablowania do podłączenia zasilania 230V.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CA8878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E21B69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12B371F7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5C2F1AB" w14:textId="77777777" w:rsidR="007D2015" w:rsidRPr="00CA5CAF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CA5CAF">
              <w:rPr>
                <w:b/>
                <w:sz w:val="20"/>
                <w:szCs w:val="20"/>
              </w:rPr>
              <w:t xml:space="preserve">Obsługiwane napędy 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2BDEAB7" w14:textId="77777777" w:rsidR="007D2015" w:rsidRPr="00CA5CAF" w:rsidRDefault="007D2015" w:rsidP="00C3175C">
            <w:pPr>
              <w:rPr>
                <w:sz w:val="20"/>
                <w:szCs w:val="20"/>
              </w:rPr>
            </w:pPr>
            <w:r w:rsidRPr="00CA5CAF">
              <w:rPr>
                <w:sz w:val="20"/>
                <w:szCs w:val="20"/>
              </w:rPr>
              <w:t xml:space="preserve">LTO </w:t>
            </w:r>
            <w:proofErr w:type="spellStart"/>
            <w:r w:rsidRPr="00CA5CAF">
              <w:rPr>
                <w:sz w:val="20"/>
                <w:szCs w:val="20"/>
              </w:rPr>
              <w:t>Ultrium</w:t>
            </w:r>
            <w:proofErr w:type="spellEnd"/>
            <w:r w:rsidRPr="00CA5CAF">
              <w:rPr>
                <w:sz w:val="20"/>
                <w:szCs w:val="20"/>
              </w:rPr>
              <w:t xml:space="preserve"> 6, LTO </w:t>
            </w:r>
            <w:proofErr w:type="spellStart"/>
            <w:r w:rsidRPr="00CA5CAF">
              <w:rPr>
                <w:sz w:val="20"/>
                <w:szCs w:val="20"/>
              </w:rPr>
              <w:t>Ultrium</w:t>
            </w:r>
            <w:proofErr w:type="spellEnd"/>
            <w:r w:rsidRPr="00CA5CAF">
              <w:rPr>
                <w:sz w:val="20"/>
                <w:szCs w:val="20"/>
              </w:rPr>
              <w:t xml:space="preserve"> 7, LTO </w:t>
            </w:r>
            <w:proofErr w:type="spellStart"/>
            <w:r w:rsidRPr="00CA5CAF">
              <w:rPr>
                <w:sz w:val="20"/>
                <w:szCs w:val="20"/>
              </w:rPr>
              <w:t>Ultrium</w:t>
            </w:r>
            <w:proofErr w:type="spellEnd"/>
            <w:r w:rsidRPr="00CA5CAF">
              <w:rPr>
                <w:sz w:val="20"/>
                <w:szCs w:val="20"/>
              </w:rPr>
              <w:t xml:space="preserve"> 8, LTO </w:t>
            </w:r>
            <w:proofErr w:type="spellStart"/>
            <w:r w:rsidRPr="00CA5CAF">
              <w:rPr>
                <w:sz w:val="20"/>
                <w:szCs w:val="20"/>
              </w:rPr>
              <w:t>Ultrium</w:t>
            </w:r>
            <w:proofErr w:type="spellEnd"/>
            <w:r w:rsidRPr="00CA5CAF">
              <w:rPr>
                <w:sz w:val="20"/>
                <w:szCs w:val="20"/>
              </w:rPr>
              <w:t xml:space="preserve"> 9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AE22DCC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03B13D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6DD1EE78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927CD80" w14:textId="77777777" w:rsidR="007D2015" w:rsidRPr="00CA5CAF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CA5CAF">
              <w:rPr>
                <w:b/>
                <w:sz w:val="20"/>
                <w:szCs w:val="20"/>
              </w:rPr>
              <w:t>Liczba napędów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70366E3" w14:textId="77777777" w:rsidR="007D2015" w:rsidRPr="00CA5CAF" w:rsidRDefault="007D2015" w:rsidP="00C3175C">
            <w:pPr>
              <w:rPr>
                <w:sz w:val="20"/>
                <w:szCs w:val="20"/>
              </w:rPr>
            </w:pPr>
            <w:r w:rsidRPr="00CA5CAF">
              <w:rPr>
                <w:sz w:val="20"/>
                <w:szCs w:val="20"/>
              </w:rPr>
              <w:t>Obsługa do 21 napędów HH (połówkowej wysokości) lub 7 FH (pełnej wysokości) lub ich kombinacji.</w:t>
            </w:r>
          </w:p>
          <w:p w14:paraId="388F05EE" w14:textId="77777777" w:rsidR="007D2015" w:rsidRPr="00CA5CAF" w:rsidRDefault="007D2015" w:rsidP="00C3175C">
            <w:pPr>
              <w:rPr>
                <w:sz w:val="20"/>
                <w:szCs w:val="20"/>
              </w:rPr>
            </w:pPr>
            <w:r w:rsidRPr="00CA5CAF">
              <w:rPr>
                <w:sz w:val="20"/>
                <w:szCs w:val="20"/>
              </w:rPr>
              <w:t>Biblioteka w chwili dostawy</w:t>
            </w:r>
            <w:r>
              <w:rPr>
                <w:sz w:val="20"/>
                <w:szCs w:val="20"/>
              </w:rPr>
              <w:t xml:space="preserve"> musi</w:t>
            </w:r>
            <w:r w:rsidRPr="00CA5CAF">
              <w:rPr>
                <w:sz w:val="20"/>
                <w:szCs w:val="20"/>
              </w:rPr>
              <w:t xml:space="preserve"> być wyposażona w </w:t>
            </w:r>
            <w:r>
              <w:rPr>
                <w:sz w:val="20"/>
                <w:szCs w:val="20"/>
              </w:rPr>
              <w:t>minimum dwa</w:t>
            </w:r>
            <w:r w:rsidRPr="002019BE">
              <w:rPr>
                <w:sz w:val="20"/>
                <w:szCs w:val="20"/>
              </w:rPr>
              <w:t xml:space="preserve"> napędy LTO </w:t>
            </w:r>
            <w:proofErr w:type="spellStart"/>
            <w:r w:rsidRPr="002019BE">
              <w:rPr>
                <w:sz w:val="20"/>
                <w:szCs w:val="20"/>
              </w:rPr>
              <w:t>Utrium</w:t>
            </w:r>
            <w:proofErr w:type="spellEnd"/>
            <w:r w:rsidRPr="002019BE">
              <w:rPr>
                <w:sz w:val="20"/>
                <w:szCs w:val="20"/>
              </w:rPr>
              <w:t xml:space="preserve"> 9, połówkowej wysokości z interfejsem </w:t>
            </w:r>
            <w:r w:rsidRPr="00CA5CAF">
              <w:rPr>
                <w:sz w:val="20"/>
                <w:szCs w:val="20"/>
              </w:rPr>
              <w:t>FC</w:t>
            </w:r>
            <w:r>
              <w:rPr>
                <w:sz w:val="20"/>
                <w:szCs w:val="20"/>
              </w:rPr>
              <w:t xml:space="preserve">. </w:t>
            </w:r>
            <w:r w:rsidRPr="00CA5CAF">
              <w:rPr>
                <w:sz w:val="20"/>
                <w:szCs w:val="20"/>
              </w:rPr>
              <w:t>Wymagane jest dostarczenie wkładek FC SAN 8Gb/s (w ilości odpowiadającej zamontowanym napędom</w:t>
            </w:r>
            <w:r>
              <w:rPr>
                <w:sz w:val="20"/>
                <w:szCs w:val="20"/>
              </w:rPr>
              <w:t xml:space="preserve"> i możliwością zainstalowania w nich modułów FC</w:t>
            </w:r>
            <w:r w:rsidRPr="00CA5CAF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Zamawiający wymaga również dostarczenia tyle samo wkładek SAN FC do będącego w zasobach </w:t>
            </w:r>
            <w:r w:rsidRPr="00824C1C">
              <w:rPr>
                <w:bCs/>
                <w:color w:val="000000"/>
                <w:sz w:val="20"/>
                <w:szCs w:val="20"/>
              </w:rPr>
              <w:t xml:space="preserve">Zamawiającego </w:t>
            </w:r>
            <w:r>
              <w:rPr>
                <w:bCs/>
                <w:color w:val="000000"/>
                <w:sz w:val="20"/>
                <w:szCs w:val="20"/>
              </w:rPr>
              <w:t xml:space="preserve">przełącznika SAN FC- </w:t>
            </w:r>
            <w:r w:rsidRPr="00824C1C">
              <w:rPr>
                <w:bCs/>
                <w:color w:val="000000"/>
                <w:sz w:val="20"/>
                <w:szCs w:val="20"/>
              </w:rPr>
              <w:t xml:space="preserve">Cisco 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Nexus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 xml:space="preserve"> 5596UP</w:t>
            </w:r>
            <w:r>
              <w:rPr>
                <w:bCs/>
                <w:color w:val="000000"/>
                <w:sz w:val="20"/>
                <w:szCs w:val="20"/>
              </w:rPr>
              <w:t>. Moduły FC nie muszą pochodzić od tego samego producenta, co wymieniony w tym miejscu przełącznik SAN.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1E351C7" w14:textId="77777777" w:rsidR="007D2015" w:rsidRDefault="007D2015" w:rsidP="00C3175C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C522B8" w14:textId="77777777" w:rsidR="007D2015" w:rsidRDefault="007D2015" w:rsidP="00C3175C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D2015" w14:paraId="3FD4808A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9B65493" w14:textId="77777777" w:rsidR="007D2015" w:rsidRPr="00CA5CAF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CA5CAF">
              <w:rPr>
                <w:b/>
                <w:sz w:val="20"/>
                <w:szCs w:val="20"/>
              </w:rPr>
              <w:t>Liczba slotów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2D7634B" w14:textId="77777777" w:rsidR="007D2015" w:rsidRPr="00CA5CAF" w:rsidRDefault="007D2015" w:rsidP="00C3175C">
            <w:pPr>
              <w:rPr>
                <w:sz w:val="20"/>
                <w:szCs w:val="20"/>
              </w:rPr>
            </w:pPr>
            <w:r w:rsidRPr="00CA5CAF">
              <w:rPr>
                <w:sz w:val="20"/>
                <w:szCs w:val="20"/>
              </w:rPr>
              <w:t xml:space="preserve">Biblioteka powinna umożliwiać obsługę do min. 272 taśm </w:t>
            </w:r>
            <w:r w:rsidRPr="002019BE">
              <w:rPr>
                <w:sz w:val="20"/>
                <w:szCs w:val="20"/>
              </w:rPr>
              <w:t>magnetycznych, w tym min. 32  taśmy w jednostce bazowej</w:t>
            </w:r>
            <w:r w:rsidRPr="00CA5CAF">
              <w:rPr>
                <w:sz w:val="20"/>
                <w:szCs w:val="20"/>
              </w:rPr>
              <w:t xml:space="preserve"> i  być wyposażona</w:t>
            </w:r>
            <w:r>
              <w:rPr>
                <w:sz w:val="20"/>
                <w:szCs w:val="20"/>
              </w:rPr>
              <w:t xml:space="preserve"> w</w:t>
            </w:r>
            <w:r w:rsidRPr="00CA5CAF">
              <w:rPr>
                <w:sz w:val="20"/>
                <w:szCs w:val="20"/>
              </w:rPr>
              <w:t xml:space="preserve"> gniazdo we/wy, umożliwiające nieprzerwaną pracę biblioteki podczas importu i eksportu nośników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lastRenderedPageBreak/>
              <w:t xml:space="preserve">biblioteka musi w chwili dostawy obsługiwać możliwość dedykowanych slotów (minimum 4 </w:t>
            </w:r>
            <w:proofErr w:type="spellStart"/>
            <w:r>
              <w:rPr>
                <w:sz w:val="20"/>
                <w:szCs w:val="20"/>
              </w:rPr>
              <w:t>sloty</w:t>
            </w:r>
            <w:proofErr w:type="spellEnd"/>
            <w:r>
              <w:rPr>
                <w:sz w:val="20"/>
                <w:szCs w:val="20"/>
              </w:rPr>
              <w:t xml:space="preserve"> z 40), umożliwiających wyjęcie taśm LTO  podczas pracy biblioteki (tzw. „import/export </w:t>
            </w:r>
            <w:proofErr w:type="spellStart"/>
            <w:r>
              <w:rPr>
                <w:sz w:val="20"/>
                <w:szCs w:val="20"/>
              </w:rPr>
              <w:t>tape</w:t>
            </w:r>
            <w:proofErr w:type="spellEnd"/>
            <w:r>
              <w:rPr>
                <w:sz w:val="20"/>
                <w:szCs w:val="20"/>
              </w:rPr>
              <w:t>”). Biblioteka musi być wyposażona w chwili dostawy w 40 aktywnych slotów LTO.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09108F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CD0F65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379ACF94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65408DF" w14:textId="77777777" w:rsidR="007D2015" w:rsidRPr="00CA5CAF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CA5CAF">
              <w:rPr>
                <w:b/>
                <w:sz w:val="20"/>
                <w:szCs w:val="20"/>
              </w:rPr>
              <w:t>Obsługiwane nośniki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0E52B93" w14:textId="77777777" w:rsidR="007D2015" w:rsidRPr="00CA5CAF" w:rsidRDefault="007D2015" w:rsidP="00C3175C">
            <w:pPr>
              <w:rPr>
                <w:sz w:val="20"/>
                <w:szCs w:val="20"/>
              </w:rPr>
            </w:pPr>
            <w:r w:rsidRPr="00CA5CAF">
              <w:rPr>
                <w:sz w:val="20"/>
                <w:szCs w:val="20"/>
              </w:rPr>
              <w:t>LTO 9: 18 TB</w:t>
            </w:r>
          </w:p>
          <w:p w14:paraId="22C59B11" w14:textId="77777777" w:rsidR="007D2015" w:rsidRPr="00CA5CAF" w:rsidRDefault="007D2015" w:rsidP="00C3175C">
            <w:pPr>
              <w:rPr>
                <w:sz w:val="20"/>
                <w:szCs w:val="20"/>
              </w:rPr>
            </w:pPr>
            <w:r w:rsidRPr="00CA5CAF">
              <w:rPr>
                <w:sz w:val="20"/>
                <w:szCs w:val="20"/>
              </w:rPr>
              <w:t>LTO8: 12TB natywnie,</w:t>
            </w:r>
          </w:p>
          <w:p w14:paraId="11DAADFA" w14:textId="77777777" w:rsidR="007D2015" w:rsidRPr="00CA5CAF" w:rsidRDefault="007D2015" w:rsidP="00C3175C">
            <w:pPr>
              <w:rPr>
                <w:sz w:val="20"/>
                <w:szCs w:val="20"/>
              </w:rPr>
            </w:pPr>
            <w:r w:rsidRPr="00CA5CAF">
              <w:rPr>
                <w:sz w:val="20"/>
                <w:szCs w:val="20"/>
              </w:rPr>
              <w:t xml:space="preserve">LTO7: 6 TB natywnie, </w:t>
            </w:r>
          </w:p>
          <w:p w14:paraId="0D50F849" w14:textId="77777777" w:rsidR="007D2015" w:rsidRPr="00CA5CAF" w:rsidRDefault="007D2015" w:rsidP="00C3175C">
            <w:pPr>
              <w:rPr>
                <w:sz w:val="20"/>
                <w:szCs w:val="20"/>
              </w:rPr>
            </w:pPr>
            <w:r w:rsidRPr="00CA5CAF">
              <w:rPr>
                <w:sz w:val="20"/>
                <w:szCs w:val="20"/>
              </w:rPr>
              <w:t xml:space="preserve">LTO6: 2,5 TB natywnie, </w:t>
            </w:r>
          </w:p>
          <w:p w14:paraId="7651BF4A" w14:textId="77777777" w:rsidR="007D2015" w:rsidRDefault="007D2015" w:rsidP="00C3175C">
            <w:pPr>
              <w:rPr>
                <w:sz w:val="20"/>
                <w:szCs w:val="20"/>
              </w:rPr>
            </w:pPr>
            <w:r w:rsidRPr="00CA5CAF">
              <w:rPr>
                <w:sz w:val="20"/>
                <w:szCs w:val="20"/>
              </w:rPr>
              <w:t>Wsparcie dla taśm typ WORM</w:t>
            </w:r>
            <w:r>
              <w:rPr>
                <w:sz w:val="20"/>
                <w:szCs w:val="20"/>
              </w:rPr>
              <w:t>,</w:t>
            </w:r>
          </w:p>
          <w:p w14:paraId="3924719E" w14:textId="77777777" w:rsidR="007D2015" w:rsidRDefault="007D2015" w:rsidP="00C3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taśm czyszczących LTO.</w:t>
            </w:r>
          </w:p>
          <w:p w14:paraId="46279E6D" w14:textId="77777777" w:rsidR="007D2015" w:rsidRPr="00CA5CAF" w:rsidRDefault="007D2015" w:rsidP="00C3175C">
            <w:pPr>
              <w:rPr>
                <w:sz w:val="20"/>
                <w:szCs w:val="20"/>
              </w:rPr>
            </w:pPr>
          </w:p>
          <w:p w14:paraId="78F5A83E" w14:textId="77777777" w:rsidR="007D2015" w:rsidRPr="002627DA" w:rsidRDefault="007D2015" w:rsidP="00C3175C">
            <w:pPr>
              <w:rPr>
                <w:sz w:val="20"/>
                <w:szCs w:val="20"/>
              </w:rPr>
            </w:pPr>
            <w:r w:rsidRPr="002627DA">
              <w:rPr>
                <w:sz w:val="20"/>
                <w:szCs w:val="20"/>
              </w:rPr>
              <w:t>W chwili dostawy biblioteka musi być wyposażona min. W nośniki:</w:t>
            </w:r>
          </w:p>
          <w:p w14:paraId="03443AE7" w14:textId="77777777" w:rsidR="007D2015" w:rsidRPr="002627DA" w:rsidRDefault="007D2015" w:rsidP="00C3175C">
            <w:pPr>
              <w:rPr>
                <w:sz w:val="20"/>
                <w:szCs w:val="20"/>
              </w:rPr>
            </w:pPr>
            <w:r w:rsidRPr="002627DA">
              <w:rPr>
                <w:sz w:val="20"/>
                <w:szCs w:val="20"/>
              </w:rPr>
              <w:t>- 10 szt. taśm LTO9 18/45 TB RW</w:t>
            </w:r>
          </w:p>
          <w:p w14:paraId="6B946471" w14:textId="77777777" w:rsidR="007D2015" w:rsidRPr="00CA5CAF" w:rsidRDefault="007D2015" w:rsidP="00C3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</w:t>
            </w:r>
            <w:r w:rsidRPr="002627DA">
              <w:rPr>
                <w:sz w:val="20"/>
                <w:szCs w:val="20"/>
              </w:rPr>
              <w:t xml:space="preserve"> szt. taśm czyszczących do napędów LTO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DE298E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ED09BA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02644615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91A44A5" w14:textId="77777777" w:rsidR="007D2015" w:rsidRPr="008E352B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E352B">
              <w:rPr>
                <w:b/>
                <w:sz w:val="20"/>
                <w:szCs w:val="20"/>
              </w:rPr>
              <w:t>Funkcjonalność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FC84CA7" w14:textId="77777777" w:rsidR="007D2015" w:rsidRPr="008E352B" w:rsidRDefault="007D2015" w:rsidP="00C3175C">
            <w:pPr>
              <w:rPr>
                <w:sz w:val="20"/>
                <w:szCs w:val="20"/>
              </w:rPr>
            </w:pPr>
            <w:r w:rsidRPr="008E352B">
              <w:rPr>
                <w:sz w:val="20"/>
                <w:szCs w:val="20"/>
              </w:rPr>
              <w:t>Biblioteka musi być wyposażona w czytnik kodów kreskowych;</w:t>
            </w:r>
          </w:p>
          <w:p w14:paraId="12316CED" w14:textId="77777777" w:rsidR="007D2015" w:rsidRPr="008E352B" w:rsidRDefault="007D2015" w:rsidP="00C3175C">
            <w:pPr>
              <w:rPr>
                <w:sz w:val="20"/>
                <w:szCs w:val="20"/>
              </w:rPr>
            </w:pPr>
            <w:r w:rsidRPr="008E352B">
              <w:rPr>
                <w:sz w:val="20"/>
                <w:szCs w:val="20"/>
              </w:rPr>
              <w:t>możliwość partycjonowania biblioteki;</w:t>
            </w:r>
          </w:p>
          <w:p w14:paraId="0D2C73CD" w14:textId="77777777" w:rsidR="007D2015" w:rsidRPr="008E352B" w:rsidRDefault="007D2015" w:rsidP="00C3175C">
            <w:pPr>
              <w:rPr>
                <w:sz w:val="20"/>
                <w:szCs w:val="20"/>
              </w:rPr>
            </w:pPr>
            <w:r w:rsidRPr="008E352B">
              <w:rPr>
                <w:sz w:val="20"/>
                <w:szCs w:val="20"/>
              </w:rPr>
              <w:t>,możliwość rozbudowy o funkcję, która zapewni automatyczne przełączanie ścieżki sterującej na wstępnie skonfigurowaną ścieżkę rezerwową w wypadku awarii adaptera hosta lub interfejsu głównej ścieżki.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633FAF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8F0FF6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3B290992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BE154D1" w14:textId="77777777" w:rsidR="007D2015" w:rsidRPr="008E352B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E352B">
              <w:rPr>
                <w:b/>
                <w:sz w:val="20"/>
                <w:szCs w:val="20"/>
              </w:rPr>
              <w:t>Zasilanie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E7FB0D0" w14:textId="77777777" w:rsidR="007D2015" w:rsidRPr="008E352B" w:rsidRDefault="007D2015" w:rsidP="00C3175C">
            <w:pPr>
              <w:rPr>
                <w:sz w:val="20"/>
                <w:szCs w:val="20"/>
              </w:rPr>
            </w:pPr>
            <w:r w:rsidRPr="008E352B">
              <w:rPr>
                <w:sz w:val="20"/>
                <w:szCs w:val="20"/>
              </w:rPr>
              <w:t>Minimum dwa redundantne zasilacze AC 230V wraz z okablowaniem</w:t>
            </w:r>
            <w:r>
              <w:rPr>
                <w:sz w:val="20"/>
                <w:szCs w:val="20"/>
              </w:rPr>
              <w:t xml:space="preserve"> zasilającym 230V</w:t>
            </w:r>
            <w:r w:rsidRPr="008E352B">
              <w:rPr>
                <w:sz w:val="20"/>
                <w:szCs w:val="20"/>
              </w:rPr>
              <w:t>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AF1912" w14:textId="77777777" w:rsidR="007D2015" w:rsidRDefault="007D2015" w:rsidP="00C3175C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61849B" w14:textId="77777777" w:rsidR="007D2015" w:rsidRDefault="007D2015" w:rsidP="00C3175C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D2015" w14:paraId="18FB6811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0610905" w14:textId="77777777" w:rsidR="007D2015" w:rsidRPr="008E352B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E352B">
              <w:rPr>
                <w:b/>
                <w:sz w:val="20"/>
                <w:szCs w:val="20"/>
              </w:rPr>
              <w:t>Licencje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5A3DCA3" w14:textId="77777777" w:rsidR="007D2015" w:rsidRDefault="007D2015" w:rsidP="00C3175C">
            <w:pPr>
              <w:rPr>
                <w:sz w:val="20"/>
                <w:szCs w:val="20"/>
              </w:rPr>
            </w:pPr>
            <w:r w:rsidRPr="008E352B">
              <w:rPr>
                <w:sz w:val="20"/>
                <w:szCs w:val="20"/>
              </w:rPr>
              <w:t>Biblioteka w chwili dostawy musi być wyposażona we wszystkie licencje, umożliwiające realizację funkcjonalności</w:t>
            </w:r>
            <w:r>
              <w:rPr>
                <w:sz w:val="20"/>
                <w:szCs w:val="20"/>
              </w:rPr>
              <w:t>, o charakterze wieczystym.</w:t>
            </w:r>
          </w:p>
          <w:p w14:paraId="4A540832" w14:textId="77777777" w:rsidR="007D2015" w:rsidRPr="00824C1C" w:rsidRDefault="007D2015" w:rsidP="00C3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wymagane są dodatkowe licencje (o ile w OPZ nie zaznaczono wyraźnie, </w:t>
            </w:r>
            <w:r>
              <w:rPr>
                <w:sz w:val="20"/>
                <w:szCs w:val="20"/>
              </w:rPr>
              <w:lastRenderedPageBreak/>
              <w:t xml:space="preserve">że dana funkcjonalność nie jest przedmiotem niniejszego postępowania), w celu spełnienia wymaganych funkcjonalności, niezbędne jest ich zaoferowanie w ramach tego postępowania. Wszystkie oferowane wraz z niniejszą biblioteką taśmową licencje muszą mieć charakter wieczysty. </w:t>
            </w:r>
          </w:p>
          <w:p w14:paraId="14CB3BBC" w14:textId="77777777" w:rsidR="007D2015" w:rsidRPr="008E352B" w:rsidRDefault="007D2015" w:rsidP="00C3175C">
            <w:pPr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3BF5F68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BBF6E3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503C491E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FD4028E" w14:textId="77777777" w:rsidR="007D2015" w:rsidRPr="008E352B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E352B">
              <w:rPr>
                <w:b/>
                <w:sz w:val="20"/>
                <w:szCs w:val="20"/>
              </w:rPr>
              <w:t>Kompatybilność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372EC23" w14:textId="77777777" w:rsidR="007D2015" w:rsidRPr="008E352B" w:rsidRDefault="007D2015" w:rsidP="00685771">
            <w:pPr>
              <w:pStyle w:val="Styl3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</w:rPr>
            </w:pPr>
            <w:r w:rsidRPr="008E352B">
              <w:rPr>
                <w:sz w:val="20"/>
              </w:rPr>
              <w:t>- możliwość działania z oferowanym w niniejszym postępowaniu serwerem</w:t>
            </w:r>
            <w:r>
              <w:rPr>
                <w:sz w:val="20"/>
              </w:rPr>
              <w:t xml:space="preserve"> (protokół SAN FC).</w:t>
            </w:r>
          </w:p>
          <w:p w14:paraId="6AD9B994" w14:textId="77777777" w:rsidR="007D2015" w:rsidRPr="008E352B" w:rsidRDefault="007D2015" w:rsidP="00685771">
            <w:pPr>
              <w:pStyle w:val="Styl3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</w:rPr>
            </w:pPr>
            <w:r w:rsidRPr="008E352B">
              <w:rPr>
                <w:sz w:val="20"/>
              </w:rPr>
              <w:t>- pełne oficjalne wsparcie (w tym automatyzacja działania biblioteki wraz z oprogramowaniem do archiwizacji danych cyfrowych)  przez platformę VEEAM BACKUP, będącym w posiadaniu Zamawiającego.</w:t>
            </w:r>
            <w:r>
              <w:rPr>
                <w:sz w:val="20"/>
              </w:rPr>
              <w:t xml:space="preserve"> Biblioteka musi współpracować w pełni (protokół FC/komendy) także z oferowanym w tym postępowaniu serwerem x86.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DB14BD1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B65DE0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7D2015" w14:paraId="7297A699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3CDEF92" w14:textId="77777777" w:rsidR="007D2015" w:rsidRPr="008E352B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E352B">
              <w:rPr>
                <w:b/>
                <w:sz w:val="20"/>
                <w:szCs w:val="20"/>
              </w:rPr>
              <w:t>Zarządzanie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E6C8E8D" w14:textId="77777777" w:rsidR="007D2015" w:rsidRPr="008E352B" w:rsidRDefault="007D2015" w:rsidP="00C3175C">
            <w:pPr>
              <w:rPr>
                <w:sz w:val="20"/>
                <w:szCs w:val="20"/>
              </w:rPr>
            </w:pPr>
            <w:r w:rsidRPr="008E352B">
              <w:rPr>
                <w:sz w:val="20"/>
                <w:szCs w:val="20"/>
              </w:rPr>
              <w:t>Wyposażona w panel operatorski z wyświetlaczem LCD.</w:t>
            </w:r>
          </w:p>
          <w:p w14:paraId="25A5A140" w14:textId="77777777" w:rsidR="007D2015" w:rsidRPr="008E352B" w:rsidRDefault="007D2015" w:rsidP="00C3175C">
            <w:pPr>
              <w:rPr>
                <w:sz w:val="20"/>
                <w:szCs w:val="20"/>
              </w:rPr>
            </w:pPr>
            <w:r w:rsidRPr="008E352B">
              <w:rPr>
                <w:sz w:val="20"/>
                <w:szCs w:val="20"/>
              </w:rPr>
              <w:t xml:space="preserve">Dostępne min. 2 porty </w:t>
            </w:r>
            <w:r>
              <w:rPr>
                <w:sz w:val="20"/>
                <w:szCs w:val="20"/>
              </w:rPr>
              <w:t xml:space="preserve">Ethernet </w:t>
            </w:r>
            <w:r w:rsidRPr="008E352B">
              <w:rPr>
                <w:sz w:val="20"/>
                <w:szCs w:val="20"/>
              </w:rPr>
              <w:t xml:space="preserve"> min 10/100/1000Mb dla zarządzania zdalnego  poprzez interfejs WWW, powiadamianie poprzez SNMP, email; sterowanie biblioteką z poziomu oprogramowania VEEAM.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E27C8A0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487AB1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3EECE034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EDF34AB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Warunki gwarancji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A012414" w14:textId="77777777" w:rsidR="00171B8A" w:rsidRDefault="007D2015" w:rsidP="00C3175C">
            <w:pPr>
              <w:rPr>
                <w:sz w:val="20"/>
              </w:rPr>
            </w:pPr>
            <w:r>
              <w:rPr>
                <w:sz w:val="20"/>
              </w:rPr>
              <w:t>36 miesięcy gwarancji P</w:t>
            </w:r>
            <w:r w:rsidRPr="00893C40">
              <w:rPr>
                <w:sz w:val="20"/>
              </w:rPr>
              <w:t>roducenta</w:t>
            </w:r>
            <w:r>
              <w:rPr>
                <w:sz w:val="20"/>
              </w:rPr>
              <w:t xml:space="preserve"> lub autoryzowanego Partnera, z czasem reakcji NBD, zgodnie z oficjalną polityką Producenta, dostępną na stronach WWW </w:t>
            </w:r>
            <w:r w:rsidR="00171B8A">
              <w:rPr>
                <w:sz w:val="20"/>
              </w:rPr>
              <w:t xml:space="preserve">( PROSZĘ PODAĆ LINK DO STRONY WWW =&gt;) </w:t>
            </w:r>
          </w:p>
          <w:p w14:paraId="13F44BFB" w14:textId="76104A59" w:rsidR="007D2015" w:rsidRDefault="007D2015" w:rsidP="00C31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lub w oddzielnych dokumentach (w takim przypadku wymagane jest ich dostarczenie w </w:t>
            </w:r>
            <w:r w:rsidR="00D16A87">
              <w:rPr>
                <w:sz w:val="20"/>
              </w:rPr>
              <w:t xml:space="preserve">formie </w:t>
            </w:r>
            <w:r>
              <w:rPr>
                <w:sz w:val="20"/>
              </w:rPr>
              <w:t xml:space="preserve">elektronicznej w </w:t>
            </w:r>
            <w:r>
              <w:rPr>
                <w:sz w:val="20"/>
              </w:rPr>
              <w:lastRenderedPageBreak/>
              <w:t>chwili składania oferty). Musi istnieć możliwość pobierania bezpośrednio ze stron WWW Producenta/Partnera najnowszych wersji oprogramowania / łat, w tym łat bezpieczeństwa.</w:t>
            </w:r>
          </w:p>
          <w:p w14:paraId="1E139714" w14:textId="77777777" w:rsidR="007D2015" w:rsidRDefault="007D2015" w:rsidP="00C3175C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7097AB43" w14:textId="77777777" w:rsidR="007D2015" w:rsidRDefault="007D2015" w:rsidP="00C3175C">
            <w:pPr>
              <w:jc w:val="both"/>
            </w:pPr>
            <w:r>
              <w:rPr>
                <w:rFonts w:cs="Calibri"/>
                <w:sz w:val="20"/>
                <w:szCs w:val="20"/>
              </w:rPr>
              <w:t>Serwis urządzeń  realizowany bezpośrednio przez Producenta i/lub we współpracy z Autoryzowanym Partnerem Serwisowym Producenta.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59210BF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9915F9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083A0DC4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061F034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848AF0A" w14:textId="77777777" w:rsidR="007D2015" w:rsidRDefault="007D2015" w:rsidP="00C3175C">
            <w:r>
              <w:rPr>
                <w:sz w:val="20"/>
                <w:szCs w:val="20"/>
              </w:rPr>
              <w:t>Zamawiający wymaga dokumentacji w języku polskim lub angielskim.</w:t>
            </w:r>
          </w:p>
          <w:p w14:paraId="476FFCA8" w14:textId="77777777" w:rsidR="007D2015" w:rsidRDefault="007D2015" w:rsidP="00C3175C">
            <w:r>
              <w:rPr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E3C93B2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FAE542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3A942A72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62EC430" w14:textId="77777777" w:rsidR="007D2015" w:rsidRDefault="007D2015" w:rsidP="00C317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B2930D1" w14:textId="77777777" w:rsidR="007D2015" w:rsidRDefault="007D2015" w:rsidP="00C3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biblioteka jest fabrycznie nowa  i pochodzi z autoryzowanego kanału dystrybucyjnego Producenta dla terytorium RP.</w:t>
            </w:r>
          </w:p>
          <w:p w14:paraId="3642916D" w14:textId="77777777" w:rsidR="007D2015" w:rsidRDefault="007D2015" w:rsidP="00C3175C"/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2D1D1B9" w14:textId="77777777" w:rsidR="007D2015" w:rsidRDefault="007D2015" w:rsidP="00C3175C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6778DB" w14:textId="77777777" w:rsidR="007D2015" w:rsidRDefault="007D2015" w:rsidP="00C3175C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0D1089C7" w14:textId="77777777" w:rsidR="007D2015" w:rsidRDefault="007D2015" w:rsidP="007D2015">
      <w:pPr>
        <w:pStyle w:val="Zwykytekst1"/>
        <w:ind w:right="-1"/>
        <w:rPr>
          <w:rFonts w:ascii="Century Gothic" w:hAnsi="Century Gothic" w:cs="Century Gothic"/>
        </w:rPr>
      </w:pPr>
    </w:p>
    <w:p w14:paraId="4E823F62" w14:textId="77777777" w:rsidR="007D2015" w:rsidRDefault="007D2015" w:rsidP="007D2015">
      <w:pPr>
        <w:pStyle w:val="Zwykytekst1"/>
        <w:ind w:left="1440" w:right="-1"/>
        <w:rPr>
          <w:rFonts w:ascii="Century Gothic" w:hAnsi="Century Gothic" w:cs="Century Gothic"/>
        </w:rPr>
      </w:pPr>
    </w:p>
    <w:p w14:paraId="75C663E3" w14:textId="77777777" w:rsidR="007D2015" w:rsidRDefault="007D2015" w:rsidP="007D2015">
      <w:pPr>
        <w:pStyle w:val="Zwykytekst1"/>
        <w:ind w:left="1440" w:right="-1"/>
        <w:rPr>
          <w:rFonts w:ascii="Century Gothic" w:hAnsi="Century Gothic" w:cs="Century Gothic"/>
        </w:rPr>
      </w:pPr>
    </w:p>
    <w:p w14:paraId="56F2EF74" w14:textId="77777777" w:rsidR="007D2015" w:rsidRDefault="007D2015" w:rsidP="007D2015">
      <w:pPr>
        <w:pStyle w:val="Zwykytekst1"/>
        <w:ind w:left="1440" w:right="-1"/>
        <w:rPr>
          <w:rFonts w:ascii="Century Gothic" w:hAnsi="Century Gothic" w:cs="Century Gothic"/>
        </w:rPr>
      </w:pPr>
    </w:p>
    <w:p w14:paraId="40D915E0" w14:textId="77777777" w:rsidR="007D2015" w:rsidRDefault="007D2015" w:rsidP="007D2015">
      <w:pPr>
        <w:pStyle w:val="Zwykytekst1"/>
        <w:ind w:left="1440" w:right="-1"/>
        <w:rPr>
          <w:rFonts w:ascii="Century Gothic" w:hAnsi="Century Gothic" w:cs="Century Gothic"/>
        </w:rPr>
      </w:pPr>
    </w:p>
    <w:p w14:paraId="6328F8F5" w14:textId="77777777" w:rsidR="007D2015" w:rsidRPr="001F2966" w:rsidRDefault="007D2015" w:rsidP="007D2015">
      <w:pPr>
        <w:pStyle w:val="Zwykytekst1"/>
        <w:numPr>
          <w:ilvl w:val="1"/>
          <w:numId w:val="2"/>
        </w:numPr>
        <w:ind w:right="-1"/>
        <w:rPr>
          <w:rFonts w:ascii="Century Gothic" w:hAnsi="Century Gothic" w:cs="Century Gothic"/>
          <w:b/>
        </w:rPr>
      </w:pPr>
      <w:r w:rsidRPr="001F2966">
        <w:rPr>
          <w:rFonts w:ascii="Century Gothic" w:hAnsi="Century Gothic" w:cs="Century Gothic"/>
          <w:b/>
        </w:rPr>
        <w:t xml:space="preserve">Macierz dyskowa </w:t>
      </w:r>
      <w:r>
        <w:rPr>
          <w:rFonts w:ascii="Century Gothic" w:hAnsi="Century Gothic" w:cs="Century Gothic"/>
          <w:b/>
        </w:rPr>
        <w:t xml:space="preserve">SAN </w:t>
      </w:r>
      <w:r w:rsidRPr="001F2966">
        <w:rPr>
          <w:rFonts w:ascii="Century Gothic" w:hAnsi="Century Gothic" w:cs="Century Gothic"/>
          <w:b/>
        </w:rPr>
        <w:t>FC FLASH</w:t>
      </w:r>
    </w:p>
    <w:tbl>
      <w:tblPr>
        <w:tblW w:w="5000" w:type="pct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3360"/>
        <w:gridCol w:w="4047"/>
        <w:gridCol w:w="824"/>
        <w:gridCol w:w="1234"/>
        <w:gridCol w:w="1098"/>
        <w:gridCol w:w="743"/>
        <w:gridCol w:w="941"/>
      </w:tblGrid>
      <w:tr w:rsidR="007D2015" w14:paraId="3141E7F9" w14:textId="77777777" w:rsidTr="00C3175C">
        <w:tc>
          <w:tcPr>
            <w:tcW w:w="1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5E3ACE4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3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A6C7127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4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3DEC91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Parametry oferowane (proszę wypełnić dokładnie niniejszy opis oraz podać producenta oraz typ/model oferowanego urządzenia wraz z nazwą, typem/modelem poszczególnych podzespołów składowych np. procesora, zasilaczy, wentylatora itp.)</w:t>
            </w: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A932D8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Liczba szt.</w:t>
            </w: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105CD6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C66BD0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Wartość</w:t>
            </w:r>
          </w:p>
          <w:p w14:paraId="3A22DDE2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A70057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%VAT</w:t>
            </w:r>
          </w:p>
        </w:tc>
        <w:tc>
          <w:tcPr>
            <w:tcW w:w="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FC4F042" w14:textId="77777777" w:rsidR="007D2015" w:rsidRDefault="007D2015" w:rsidP="00C3175C">
            <w:pPr>
              <w:jc w:val="center"/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7D2015" w14:paraId="1984A8A3" w14:textId="77777777" w:rsidTr="00C3175C">
        <w:tc>
          <w:tcPr>
            <w:tcW w:w="52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6D06AF" w14:textId="77777777" w:rsidR="007D2015" w:rsidRDefault="007D2015" w:rsidP="00C3175C">
            <w:pPr>
              <w:snapToGrid w:val="0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Macierz dyskowa SAN FC FLASH </w:t>
            </w:r>
          </w:p>
        </w:tc>
        <w:tc>
          <w:tcPr>
            <w:tcW w:w="4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9A64F81" w14:textId="77777777" w:rsidR="007D2015" w:rsidRDefault="007D2015" w:rsidP="00C3175C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44B8DE" w14:textId="77777777" w:rsidR="007D2015" w:rsidRDefault="007D2015" w:rsidP="00C3175C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74EE8C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F038CB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BF859C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F757E8C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11B13D52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1463EA6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EDE1A14" w14:textId="77777777" w:rsidR="007D2015" w:rsidRPr="00824C1C" w:rsidRDefault="007D2015" w:rsidP="00C3175C">
            <w:pPr>
              <w:rPr>
                <w:sz w:val="20"/>
                <w:szCs w:val="20"/>
              </w:rPr>
            </w:pPr>
            <w:r w:rsidRPr="00824C1C">
              <w:rPr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99B5ED0" w14:textId="77777777" w:rsidR="007D2015" w:rsidRDefault="007D2015" w:rsidP="00C3175C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911A78" w14:textId="77777777" w:rsidR="007D2015" w:rsidRDefault="007D2015" w:rsidP="00C3175C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D2015" w14:paraId="7D783244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78A3074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sz w:val="20"/>
                <w:szCs w:val="20"/>
              </w:rPr>
              <w:t>Typ/Model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B71BEC9" w14:textId="77777777" w:rsidR="007D2015" w:rsidRPr="00824C1C" w:rsidRDefault="007D2015" w:rsidP="00C3175C">
            <w:pPr>
              <w:rPr>
                <w:sz w:val="20"/>
                <w:szCs w:val="20"/>
              </w:rPr>
            </w:pPr>
            <w:r w:rsidRPr="00824C1C">
              <w:rPr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5B10D66" w14:textId="77777777" w:rsidR="007D2015" w:rsidRDefault="007D2015" w:rsidP="00C3175C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5BB694" w14:textId="77777777" w:rsidR="007D2015" w:rsidRDefault="007D2015" w:rsidP="00C3175C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D2015" w14:paraId="353E2383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72D4721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sz w:val="20"/>
                <w:szCs w:val="20"/>
              </w:rPr>
              <w:lastRenderedPageBreak/>
              <w:t>Obudowa – gęstość napędów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F0E6A2B" w14:textId="77777777" w:rsidR="007D2015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CA5CAF">
              <w:rPr>
                <w:sz w:val="20"/>
                <w:szCs w:val="20"/>
              </w:rPr>
              <w:t xml:space="preserve">Możliwość instalacji w szafie </w:t>
            </w:r>
            <w:proofErr w:type="spellStart"/>
            <w:r w:rsidRPr="00CA5CAF">
              <w:rPr>
                <w:sz w:val="20"/>
                <w:szCs w:val="20"/>
              </w:rPr>
              <w:t>Rack</w:t>
            </w:r>
            <w:proofErr w:type="spellEnd"/>
            <w:r w:rsidRPr="00CA5CAF">
              <w:rPr>
                <w:sz w:val="20"/>
                <w:szCs w:val="20"/>
              </w:rPr>
              <w:t xml:space="preserve"> 19</w:t>
            </w:r>
            <w:r>
              <w:rPr>
                <w:sz w:val="20"/>
                <w:szCs w:val="20"/>
              </w:rPr>
              <w:t>”. Wymagane jest dostarczenie niezbędnych komponentów mocujących oraz pełnego okablowania zasilającego 230V.</w:t>
            </w:r>
          </w:p>
          <w:p w14:paraId="170BE1C5" w14:textId="77777777" w:rsidR="007D2015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 xml:space="preserve">Możliwość zainstalowania co najmniej 12 dysków 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NVMe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 xml:space="preserve"> o rozmiarze 2,5” cala</w:t>
            </w:r>
            <w:r>
              <w:rPr>
                <w:bCs/>
                <w:color w:val="000000"/>
                <w:sz w:val="20"/>
                <w:szCs w:val="20"/>
              </w:rPr>
              <w:t>. W chwili dostawy macierz powinna być wyposażona minimum w 10 dysków (specyfikacja dotycząca  parametrów, w tym  pojemności dysków została przedstawiona poniżej).</w:t>
            </w:r>
          </w:p>
          <w:p w14:paraId="3DE0F6A4" w14:textId="77777777" w:rsidR="007D2015" w:rsidRPr="00824C1C" w:rsidRDefault="007D2015" w:rsidP="00C3175C">
            <w:pPr>
              <w:rPr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A62D4A1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8429A3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0DD580A2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BE53581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bCs/>
                <w:color w:val="000000"/>
                <w:sz w:val="20"/>
                <w:szCs w:val="20"/>
              </w:rPr>
              <w:t>Funkcje niezawodnościowe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3425255" w14:textId="77777777" w:rsidR="007D2015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>Macierz musi cechować brak pojedynczego punktu awarii.</w:t>
            </w:r>
          </w:p>
          <w:p w14:paraId="725D50C1" w14:textId="77777777" w:rsidR="007D2015" w:rsidRPr="00824C1C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2627DA">
              <w:rPr>
                <w:bCs/>
                <w:color w:val="000000"/>
                <w:sz w:val="20"/>
                <w:szCs w:val="20"/>
              </w:rPr>
              <w:t>Wszystkie krytyczne komponenty macierzy takie jak: kontrolery dyskowe, pamięć cache, zasilacze i wentylatory muszą być zdublowane tak, aby awaria pojedynczego elementu nie wpływała na funkcjonowanie całego systemu. Komponenty te muszą być wymienialne w trakcie pracy macierzy.</w:t>
            </w:r>
          </w:p>
          <w:p w14:paraId="00F00011" w14:textId="77777777" w:rsidR="007D2015" w:rsidRPr="00824C1C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>Wsparcie dla zasilania z dwóch niezależnych źródeł prądu poprzez nadmiarowe zasilacze typu Hot-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Swap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>.</w:t>
            </w:r>
          </w:p>
          <w:p w14:paraId="123F3AB6" w14:textId="77777777" w:rsidR="007D2015" w:rsidRPr="00824C1C" w:rsidRDefault="007D2015" w:rsidP="00C3175C">
            <w:pPr>
              <w:rPr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>Macierz musi być odporna na zaniki napięcia, tzn. chwilowy zanik napięcia nie powinien przerywać pracy macierzy. Macierz musi być odporna na minimum 2 następujące jeden po drugim zaniki zasilania umożliwiając tym samym zachowanie danych z pamięci cache w pamięci nieulotnej oraz automatyczne i w pełni bezpieczne wyłączenie w przypadku trwałego zaniku zasilania.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EBC03E1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ED90B7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0B541708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2B46EE6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bCs/>
                <w:color w:val="000000"/>
                <w:sz w:val="20"/>
                <w:szCs w:val="20"/>
              </w:rPr>
              <w:t>Zarządzanie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F0F5DE8" w14:textId="77777777" w:rsidR="007D2015" w:rsidRPr="00824C1C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 xml:space="preserve">Macierz musi umożliwiać zarządzanie poprzez redundantne porty Ethernet o </w:t>
            </w:r>
            <w:r w:rsidRPr="00824C1C">
              <w:rPr>
                <w:bCs/>
                <w:color w:val="000000"/>
                <w:sz w:val="20"/>
                <w:szCs w:val="20"/>
              </w:rPr>
              <w:lastRenderedPageBreak/>
              <w:t xml:space="preserve">prędkości min.1Gb/s. </w:t>
            </w:r>
            <w:r>
              <w:rPr>
                <w:bCs/>
                <w:color w:val="000000"/>
                <w:sz w:val="20"/>
                <w:szCs w:val="20"/>
              </w:rPr>
              <w:t xml:space="preserve">Jeżeli interfejs ten (lub interfejsy) wymaga wkładki optycznej, niezbędne jest jej dostarczenie wraz z macierzą (typ: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multi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mode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) dla wszystkich portów zarządzających. .</w:t>
            </w:r>
            <w:r w:rsidRPr="00824C1C">
              <w:rPr>
                <w:bCs/>
                <w:color w:val="000000"/>
                <w:sz w:val="20"/>
                <w:szCs w:val="20"/>
              </w:rPr>
              <w:t>Możliwość zarządzania całością dostępnych zasobów dyskowych z jednej konsoli administracyjnej. Jeżeli do tej funkcjonalności wymagany jest moduł SFP/SFP+, Zamawiający wymaga dostarczenia tych modułów (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multi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mode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>)</w:t>
            </w:r>
          </w:p>
          <w:p w14:paraId="3B928877" w14:textId="77777777" w:rsidR="007D2015" w:rsidRPr="00824C1C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>Funkcjonalność bezpośredniego monitoringu stanu w jakim w danym momencie macierz się znajduje.</w:t>
            </w:r>
          </w:p>
          <w:p w14:paraId="7F8A0861" w14:textId="77777777" w:rsidR="007D2015" w:rsidRPr="00824C1C" w:rsidRDefault="007D2015" w:rsidP="00C3175C">
            <w:pPr>
              <w:rPr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>Interfejs zarządzający GUI, CLI oraz zapewnienie możliwości tworzenia skryptów użytkownika.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70788E" w14:textId="77777777" w:rsidR="007D2015" w:rsidRDefault="007D2015" w:rsidP="00C3175C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CDE197" w14:textId="77777777" w:rsidR="007D2015" w:rsidRDefault="007D2015" w:rsidP="00C3175C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D2015" w14:paraId="5C72B53B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40431B9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sz w:val="20"/>
                <w:szCs w:val="20"/>
              </w:rPr>
              <w:t>Porty FC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FF4594E" w14:textId="77777777" w:rsidR="007D2015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 xml:space="preserve">Wymagane jest nie mniej niż 4 porty FC </w:t>
            </w:r>
            <w:r>
              <w:rPr>
                <w:bCs/>
                <w:color w:val="000000"/>
                <w:sz w:val="20"/>
                <w:szCs w:val="20"/>
              </w:rPr>
              <w:t>8/16/</w:t>
            </w:r>
            <w:r w:rsidRPr="00824C1C">
              <w:rPr>
                <w:bCs/>
                <w:color w:val="000000"/>
                <w:sz w:val="20"/>
                <w:szCs w:val="20"/>
              </w:rPr>
              <w:t>32Gb/s. Macierz w chwili dostawy musi umożliwiać użycie linków SAN FC 8Gb/s. Zamawiający wymaga dostarczenia wszystkich modułów SFP</w:t>
            </w:r>
            <w:r>
              <w:rPr>
                <w:bCs/>
                <w:color w:val="000000"/>
                <w:sz w:val="20"/>
                <w:szCs w:val="20"/>
              </w:rPr>
              <w:t xml:space="preserve"> FC (które można zamontować do kontrolerów Macierzy) </w:t>
            </w:r>
            <w:r w:rsidRPr="00824C1C">
              <w:rPr>
                <w:bCs/>
                <w:color w:val="000000"/>
                <w:sz w:val="20"/>
                <w:szCs w:val="20"/>
              </w:rPr>
              <w:t xml:space="preserve"> (obsługa 8Gb/s) po stronie macierzy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14:paraId="7C12C9AB" w14:textId="77777777" w:rsidR="007D2015" w:rsidRPr="001E1C60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Zamawiający wymaga również dostarczenia tyle samo wkładek SAN FC do będącego w zasobach </w:t>
            </w:r>
            <w:r w:rsidRPr="00824C1C">
              <w:rPr>
                <w:bCs/>
                <w:color w:val="000000"/>
                <w:sz w:val="20"/>
                <w:szCs w:val="20"/>
              </w:rPr>
              <w:t xml:space="preserve">Zamawiającego </w:t>
            </w:r>
            <w:r>
              <w:rPr>
                <w:bCs/>
                <w:color w:val="000000"/>
                <w:sz w:val="20"/>
                <w:szCs w:val="20"/>
              </w:rPr>
              <w:t xml:space="preserve">przełącznika SAN FC- </w:t>
            </w:r>
            <w:r w:rsidRPr="00824C1C">
              <w:rPr>
                <w:bCs/>
                <w:color w:val="000000"/>
                <w:sz w:val="20"/>
                <w:szCs w:val="20"/>
              </w:rPr>
              <w:t xml:space="preserve">Cisco 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Nexus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 xml:space="preserve"> 5596UP</w:t>
            </w:r>
            <w:r>
              <w:rPr>
                <w:bCs/>
                <w:color w:val="000000"/>
                <w:sz w:val="20"/>
                <w:szCs w:val="20"/>
              </w:rPr>
              <w:t>. Moduły FC nie muszą pochodzić od tego samego producenta, co wymieniony w tym miejscu przełącznik SAN.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7CF9822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0C49A8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3EEDE315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79F745F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sz w:val="20"/>
                <w:szCs w:val="20"/>
              </w:rPr>
              <w:t>Kontrolery macierzy dyskowej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B40357A" w14:textId="77777777" w:rsidR="007D2015" w:rsidRPr="00824C1C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 xml:space="preserve">Macierz musi być wyposażona w minimum 2 kontrolery </w:t>
            </w:r>
            <w:r>
              <w:rPr>
                <w:bCs/>
                <w:color w:val="000000"/>
                <w:sz w:val="20"/>
                <w:szCs w:val="20"/>
              </w:rPr>
              <w:t xml:space="preserve">(rozumiane również, jako kontrolery dyskowe), </w:t>
            </w:r>
            <w:r w:rsidRPr="00824C1C">
              <w:rPr>
                <w:bCs/>
                <w:color w:val="000000"/>
                <w:sz w:val="20"/>
                <w:szCs w:val="20"/>
              </w:rPr>
              <w:t xml:space="preserve">z możliwością rozbudowy do 8 </w:t>
            </w:r>
            <w:r w:rsidRPr="00824C1C">
              <w:rPr>
                <w:bCs/>
                <w:color w:val="000000"/>
                <w:sz w:val="20"/>
                <w:szCs w:val="20"/>
              </w:rPr>
              <w:lastRenderedPageBreak/>
              <w:t>kontrolerów. Każdy z kontrolerów musi udostępniać co najmniej 128GB pamięci Cache.</w:t>
            </w:r>
          </w:p>
          <w:p w14:paraId="695088C5" w14:textId="77777777" w:rsidR="007D2015" w:rsidRPr="00824C1C" w:rsidRDefault="007D2015" w:rsidP="00C3175C">
            <w:pPr>
              <w:rPr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>Macierz musi umożliwiać rozbudowę pamięci cache do 2TB w ramach klastra macierzy zarządzanego z jednego interfejsu GUI, CLI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19BECB8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D5320C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17A742A8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72D659C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sz w:val="20"/>
                <w:szCs w:val="20"/>
              </w:rPr>
              <w:t>Funkcjonalności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39FE85D" w14:textId="77777777" w:rsidR="007D2015" w:rsidRPr="00824C1C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>Funkcjonalność partycjonowania pamięci cache.</w:t>
            </w:r>
          </w:p>
          <w:p w14:paraId="18A217B2" w14:textId="77777777" w:rsidR="007D2015" w:rsidRPr="00824C1C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>Funkcjonalność separacji przestrzeni dyskowych pomiędzy różnymi podłączonymi hostami.</w:t>
            </w:r>
          </w:p>
          <w:p w14:paraId="1D73CE53" w14:textId="77777777" w:rsidR="007D2015" w:rsidRPr="00824C1C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>Funkcjonalność dynamicznego zwiększania i zmniejszania rozmiaru wolumenów.</w:t>
            </w:r>
          </w:p>
          <w:p w14:paraId="7EBF04A4" w14:textId="77777777" w:rsidR="007D2015" w:rsidRPr="00824C1C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>Funkcjonalność zarządzania maksymalną ilością operacji wejścia / wyjścia wykonywanych na danym wolumenie - zarządzanie musi być możliwe zarówno poprzez określenie ilości operacji I/O na sekundę jak również przepustowości określonej w MB/s.</w:t>
            </w:r>
          </w:p>
          <w:p w14:paraId="0121F427" w14:textId="77777777" w:rsidR="007D2015" w:rsidRPr="00824C1C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 xml:space="preserve">Macierz musi mieć możliwość kompresji i 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deduplikacji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 xml:space="preserve"> dla wszystkich rodzajów dysków. </w:t>
            </w:r>
          </w:p>
          <w:p w14:paraId="0EA0374A" w14:textId="77777777" w:rsidR="007D2015" w:rsidRPr="00824C1C" w:rsidRDefault="007D2015" w:rsidP="00C3175C">
            <w:pPr>
              <w:rPr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 xml:space="preserve">Licencja na tą funkcjonalność oraz na wszystkie wymienione powyżej musi być zawarta w cenie i musi obejmować zaoferowaną w ramach macierzy przestrzeń dyskową. Wsparcie dla kompresji danych w trybie 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inline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 xml:space="preserve"> („na bieżąco” bez potrzeby zapisywania danych na nośnikach danych w formie nie skompresowanej) dla dostępu blokowego.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75D16D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F002C6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5ABD16FA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6B4E53A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sz w:val="20"/>
                <w:szCs w:val="20"/>
              </w:rPr>
              <w:t>Skalowalność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4CA8C67" w14:textId="77777777" w:rsidR="007D2015" w:rsidRPr="00824C1C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 xml:space="preserve">Liniowa skalowalność parametrów wydajnościowych zasobów dyskowych </w:t>
            </w:r>
            <w:r w:rsidRPr="00824C1C">
              <w:rPr>
                <w:bCs/>
                <w:color w:val="000000"/>
                <w:sz w:val="20"/>
                <w:szCs w:val="20"/>
              </w:rPr>
              <w:lastRenderedPageBreak/>
              <w:t>poprzez dodawanie kolejnych kontrolerów.</w:t>
            </w:r>
          </w:p>
          <w:p w14:paraId="49793D4F" w14:textId="77777777" w:rsidR="007D2015" w:rsidRPr="00824C1C" w:rsidRDefault="007D2015" w:rsidP="00C3175C">
            <w:pPr>
              <w:rPr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>Macierz musi umożliwiać stworzenie klastra składającego się z co najmniej 8 kontrolerów.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31DD22" w14:textId="77777777" w:rsidR="007D2015" w:rsidRDefault="007D2015" w:rsidP="00C3175C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FD4E99" w14:textId="77777777" w:rsidR="007D2015" w:rsidRDefault="007D2015" w:rsidP="00C3175C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D2015" w14:paraId="59190809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3275508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sz w:val="20"/>
                <w:szCs w:val="20"/>
              </w:rPr>
              <w:t>Obsługa poziomu RAID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6F5D013" w14:textId="77777777" w:rsidR="007D2015" w:rsidRPr="00824C1C" w:rsidRDefault="007D2015" w:rsidP="00C3175C">
            <w:pPr>
              <w:rPr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 xml:space="preserve">Macierz musi obsługiwać poziomy: RAID1, RAID5 i RAID6 (dystrybuowane) i zapewniać zabezpieczenie przed awarią dwóch dysków jednocześnie w ramach jednej grupy RAID. Wymagana jest 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granularna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 xml:space="preserve"> rozbudowa grup RAID o kolejne dyski, tak aby możliwe było zwiększenie przestrzeni na dane bez konieczności dodawania kolejnej grupy RAID a jedynie poprzez zwiększenie dotychczas posiadanej. Rozbudowa w zakresie minimum od 1 do 12 nośników.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3C3D46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076E24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1804D97B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0561A83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sz w:val="20"/>
                <w:szCs w:val="20"/>
              </w:rPr>
              <w:t>Wirtualizacja zasobów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243D3E0" w14:textId="77777777" w:rsidR="007D2015" w:rsidRPr="00824C1C" w:rsidRDefault="007D2015" w:rsidP="00C3175C">
            <w:pPr>
              <w:rPr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 xml:space="preserve">Oferowane rozwiązanie powinna posiadać możliwość wirtualizacji zasobów znajdujących się na innych </w:t>
            </w:r>
            <w:r w:rsidRPr="00824C1C">
              <w:rPr>
                <w:bCs/>
                <w:color w:val="000000" w:themeColor="text1"/>
                <w:sz w:val="20"/>
                <w:szCs w:val="20"/>
              </w:rPr>
              <w:t xml:space="preserve">macierzach dyskowych – DELL (będącej w posiadaniu Zamawiającego). </w:t>
            </w:r>
            <w:r w:rsidRPr="00824C1C">
              <w:rPr>
                <w:bCs/>
                <w:color w:val="000000"/>
                <w:sz w:val="20"/>
                <w:szCs w:val="20"/>
              </w:rPr>
              <w:t>Licencja na tą funkcjonalność nie jest przedmiotem tego postępowania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F2432BC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BB219A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19C4E233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D17F092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sz w:val="20"/>
                <w:szCs w:val="20"/>
              </w:rPr>
              <w:t>Obsługa wirtualnych dysków logicznych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A74BCF2" w14:textId="77777777" w:rsidR="007D2015" w:rsidRPr="00824C1C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>Macierz musi mieć możliwość rozłożenia wolumenu logicznego pomiędzy co najmniej dwoma różnymi typami macierzy dyskowych.</w:t>
            </w:r>
          </w:p>
          <w:p w14:paraId="1B817AB0" w14:textId="77777777" w:rsidR="007D2015" w:rsidRPr="00824C1C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>Macierz musi umożliwiać stworzenie mirrorowanych LUN pomiędzy różnymi macierzami, dla których awaria jednej kopii lustra musi być niezauważalna dla systemu hosta.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14C858F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AC8DB2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1E06ABDA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1266DCF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sz w:val="20"/>
                <w:szCs w:val="20"/>
              </w:rPr>
              <w:t xml:space="preserve">Funkcjonalność </w:t>
            </w:r>
            <w:proofErr w:type="spellStart"/>
            <w:r w:rsidRPr="00824C1C">
              <w:rPr>
                <w:b/>
                <w:sz w:val="20"/>
                <w:szCs w:val="20"/>
              </w:rPr>
              <w:t>Thin</w:t>
            </w:r>
            <w:proofErr w:type="spellEnd"/>
            <w:r w:rsidRPr="00824C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4C1C">
              <w:rPr>
                <w:b/>
                <w:sz w:val="20"/>
                <w:szCs w:val="20"/>
              </w:rPr>
              <w:t>Provisioning</w:t>
            </w:r>
            <w:proofErr w:type="spellEnd"/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4F6947" w14:textId="77777777" w:rsidR="007D2015" w:rsidRPr="00824C1C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 xml:space="preserve">Macierz musi obsługiwać funkcjonalność 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thin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provisioning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 xml:space="preserve"> dla wszystkich wolumenów. Należy </w:t>
            </w:r>
            <w:r w:rsidRPr="00824C1C">
              <w:rPr>
                <w:bCs/>
                <w:color w:val="000000"/>
                <w:sz w:val="20"/>
                <w:szCs w:val="20"/>
              </w:rPr>
              <w:lastRenderedPageBreak/>
              <w:t xml:space="preserve">dostarczyć licencję umożliwiającą korzystanie z funkcji 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thin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provisioning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 xml:space="preserve"> na całą oferowaną pojemność macierzy.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386A2C8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1FB244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4B02A8C1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0FB992D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sz w:val="20"/>
                <w:szCs w:val="20"/>
              </w:rPr>
              <w:t>Kopie migawkowe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F2FF1B1" w14:textId="77777777" w:rsidR="007D2015" w:rsidRPr="00824C1C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 xml:space="preserve">Kopie danych typu 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snapshot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 xml:space="preserve"> (PIT) muszą być tworzone w trybach 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incremental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multitarget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>, oraz kopii pełnej oraz kopii wskaźników. Licencja na tą funkcjonalność musi być zawarta w cenie i musi obejmować całą oferowaną pojemność macierzy.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5802CB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7015D7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666DCBD7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010D12D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sz w:val="20"/>
                <w:szCs w:val="20"/>
              </w:rPr>
              <w:t>Wsparcie dla systemów operacyjnych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1AD952D" w14:textId="77777777" w:rsidR="00B5547E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 xml:space="preserve">Macierz musi być wspierana przez systemy operacyjne i 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wirtualizatory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 xml:space="preserve">: MS Windows Server </w:t>
            </w:r>
            <w:r>
              <w:rPr>
                <w:bCs/>
                <w:color w:val="000000"/>
                <w:sz w:val="20"/>
                <w:szCs w:val="20"/>
              </w:rPr>
              <w:t xml:space="preserve">(64 bit) </w:t>
            </w:r>
            <w:r w:rsidRPr="00824C1C">
              <w:rPr>
                <w:bCs/>
                <w:color w:val="000000"/>
                <w:sz w:val="20"/>
                <w:szCs w:val="20"/>
              </w:rPr>
              <w:t xml:space="preserve">2012/2012R2,2016,2019, 2022, Vmware 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vSphere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 xml:space="preserve"> 6, 7 i nowsze, Linux x86.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3E018D1E" w14:textId="23B1340B" w:rsidR="00B5547E" w:rsidRPr="00C31A77" w:rsidRDefault="00B5547E" w:rsidP="00C3175C">
            <w:pPr>
              <w:rPr>
                <w:b/>
                <w:color w:val="000000"/>
                <w:sz w:val="20"/>
                <w:szCs w:val="20"/>
              </w:rPr>
            </w:pPr>
            <w:r w:rsidRPr="00C31A77">
              <w:rPr>
                <w:b/>
                <w:color w:val="000000"/>
                <w:sz w:val="20"/>
                <w:szCs w:val="20"/>
              </w:rPr>
              <w:t xml:space="preserve">Wymóg dla środowiska Vmware w wersji 6.x  może zostać spełniony poprzez możliwość instalacji oficjalnego </w:t>
            </w:r>
            <w:r w:rsidR="00BE7840" w:rsidRPr="00C31A77">
              <w:rPr>
                <w:b/>
                <w:color w:val="000000"/>
                <w:sz w:val="20"/>
                <w:szCs w:val="20"/>
              </w:rPr>
              <w:t xml:space="preserve">wspieranego przez Producenta </w:t>
            </w:r>
            <w:r w:rsidR="00B62810" w:rsidRPr="00C31A77">
              <w:rPr>
                <w:b/>
                <w:color w:val="000000"/>
                <w:sz w:val="20"/>
                <w:szCs w:val="20"/>
              </w:rPr>
              <w:t xml:space="preserve">macierzy </w:t>
            </w:r>
            <w:r w:rsidRPr="00C31A77">
              <w:rPr>
                <w:b/>
                <w:color w:val="000000"/>
                <w:sz w:val="20"/>
                <w:szCs w:val="20"/>
              </w:rPr>
              <w:t>oprogramowania macierzy, które w chwili dystrybucji wspierało odpowiednio platformy Vmware, wskazane przez Zamawiającego, w szczególności: Vm</w:t>
            </w:r>
            <w:r w:rsidR="00A83D9D" w:rsidRPr="00C31A77">
              <w:rPr>
                <w:b/>
                <w:color w:val="000000"/>
                <w:sz w:val="20"/>
                <w:szCs w:val="20"/>
              </w:rPr>
              <w:t xml:space="preserve">ware </w:t>
            </w:r>
            <w:proofErr w:type="spellStart"/>
            <w:r w:rsidR="00A83D9D" w:rsidRPr="00C31A77">
              <w:rPr>
                <w:b/>
                <w:color w:val="000000"/>
                <w:sz w:val="20"/>
                <w:szCs w:val="20"/>
              </w:rPr>
              <w:t>vSphere</w:t>
            </w:r>
            <w:proofErr w:type="spellEnd"/>
            <w:r w:rsidR="00A83D9D" w:rsidRPr="00C31A77">
              <w:rPr>
                <w:b/>
                <w:color w:val="000000"/>
                <w:sz w:val="20"/>
                <w:szCs w:val="20"/>
              </w:rPr>
              <w:t xml:space="preserve"> Web Client wraz z </w:t>
            </w:r>
            <w:r w:rsidRPr="00C31A7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1A77">
              <w:rPr>
                <w:b/>
                <w:color w:val="000000"/>
                <w:sz w:val="20"/>
                <w:szCs w:val="20"/>
              </w:rPr>
              <w:t>vCenter</w:t>
            </w:r>
            <w:proofErr w:type="spellEnd"/>
            <w:r w:rsidRPr="00C31A77">
              <w:rPr>
                <w:b/>
                <w:color w:val="000000"/>
                <w:sz w:val="20"/>
                <w:szCs w:val="20"/>
              </w:rPr>
              <w:t xml:space="preserve"> Server Appliance - VCSA oraz Vmware </w:t>
            </w:r>
            <w:proofErr w:type="spellStart"/>
            <w:r w:rsidRPr="00C31A77">
              <w:rPr>
                <w:b/>
                <w:color w:val="000000"/>
                <w:sz w:val="20"/>
                <w:szCs w:val="20"/>
              </w:rPr>
              <w:t>virtual</w:t>
            </w:r>
            <w:proofErr w:type="spellEnd"/>
            <w:r w:rsidRPr="00C31A7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1A77">
              <w:rPr>
                <w:b/>
                <w:color w:val="000000"/>
                <w:sz w:val="20"/>
                <w:szCs w:val="20"/>
              </w:rPr>
              <w:t>volumes</w:t>
            </w:r>
            <w:proofErr w:type="spellEnd"/>
            <w:r w:rsidRPr="00C31A77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31A77">
              <w:rPr>
                <w:b/>
                <w:color w:val="000000"/>
                <w:sz w:val="20"/>
                <w:szCs w:val="20"/>
              </w:rPr>
              <w:t>vVols</w:t>
            </w:r>
            <w:proofErr w:type="spellEnd"/>
            <w:r w:rsidRPr="00C31A77">
              <w:rPr>
                <w:b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C31A77">
              <w:rPr>
                <w:b/>
                <w:color w:val="000000"/>
                <w:sz w:val="20"/>
                <w:szCs w:val="20"/>
              </w:rPr>
              <w:t>ESXi</w:t>
            </w:r>
            <w:proofErr w:type="spellEnd"/>
            <w:r w:rsidRPr="00C31A77">
              <w:rPr>
                <w:b/>
                <w:color w:val="000000"/>
                <w:sz w:val="20"/>
                <w:szCs w:val="20"/>
              </w:rPr>
              <w:t>.</w:t>
            </w:r>
          </w:p>
          <w:p w14:paraId="603575C0" w14:textId="2EC7E8C5" w:rsidR="00A83D9D" w:rsidRPr="00A83D9D" w:rsidRDefault="00A83D9D" w:rsidP="00C3175C">
            <w:pPr>
              <w:rPr>
                <w:bCs/>
                <w:color w:val="000000"/>
                <w:sz w:val="20"/>
                <w:szCs w:val="20"/>
              </w:rPr>
            </w:pPr>
            <w:r w:rsidRPr="00C31A77">
              <w:rPr>
                <w:b/>
                <w:color w:val="000000"/>
                <w:sz w:val="20"/>
                <w:szCs w:val="20"/>
              </w:rPr>
              <w:t>Zamawiający wymaga również prawidłowej pracy protokołu FC dla w/w rozwiązań.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F32EBF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555A15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6A0A3788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D31ECD2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sz w:val="20"/>
                <w:szCs w:val="20"/>
              </w:rPr>
              <w:t>Wysoka niezawodność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F56F57B" w14:textId="77777777" w:rsidR="007D2015" w:rsidRPr="00824C1C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 xml:space="preserve">Zaoferowane rozwiązanie musi posiadać możliwość implementacji klastra geograficznego. W ramach architektury klastra geograficznego musi być wspierane bezprzerwowe migrowanie maszyn wirtualnych pomiędzy ośrodkami. W przypadku </w:t>
            </w:r>
            <w:r w:rsidRPr="00824C1C">
              <w:rPr>
                <w:bCs/>
                <w:color w:val="000000"/>
                <w:sz w:val="20"/>
                <w:szCs w:val="20"/>
              </w:rPr>
              <w:lastRenderedPageBreak/>
              <w:t>awarii jednego z ośrodków nastąpi bezprzerwowe przełączenie do lokalizacji zapasowej. Powyższa funkcjonalność musi być realizowana niezależnie od systemu operacyjnego na poziomie przełączania ścieżek do urządzenia logicznego.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6142435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BDEBC2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30CC2BC5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501563E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sz w:val="20"/>
                <w:szCs w:val="20"/>
              </w:rPr>
              <w:t>Pojemność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F564956" w14:textId="77777777" w:rsidR="007D2015" w:rsidRPr="00824C1C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 xml:space="preserve">Wymagana pojemność fizyczna macierzy w chwili dostawy musi wynosić co najmniej </w:t>
            </w:r>
            <w:r>
              <w:rPr>
                <w:bCs/>
                <w:color w:val="000000"/>
                <w:sz w:val="20"/>
                <w:szCs w:val="20"/>
              </w:rPr>
              <w:t>10</w:t>
            </w:r>
            <w:r w:rsidRPr="00824C1C">
              <w:rPr>
                <w:bCs/>
                <w:color w:val="000000"/>
                <w:sz w:val="20"/>
                <w:szCs w:val="20"/>
              </w:rPr>
              <w:t xml:space="preserve">0 TB dla pojemności opartej o moduły 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flash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NVMe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 xml:space="preserve"> i jednocześnie udostępniać min. </w:t>
            </w:r>
            <w:r>
              <w:rPr>
                <w:bCs/>
                <w:color w:val="000000"/>
                <w:sz w:val="20"/>
                <w:szCs w:val="20"/>
              </w:rPr>
              <w:t>65 T</w:t>
            </w:r>
            <w:r w:rsidRPr="00824C1C">
              <w:rPr>
                <w:bCs/>
                <w:color w:val="000000"/>
                <w:sz w:val="20"/>
                <w:szCs w:val="20"/>
              </w:rPr>
              <w:t>B pojemności użytecznej</w:t>
            </w:r>
            <w:r>
              <w:rPr>
                <w:bCs/>
                <w:color w:val="000000"/>
                <w:sz w:val="20"/>
                <w:szCs w:val="20"/>
              </w:rPr>
              <w:t xml:space="preserve"> (netto)</w:t>
            </w:r>
            <w:r w:rsidRPr="00824C1C">
              <w:rPr>
                <w:bCs/>
                <w:color w:val="000000"/>
                <w:sz w:val="20"/>
                <w:szCs w:val="20"/>
              </w:rPr>
              <w:t xml:space="preserve"> po zastosowaniu zabezpieczenia przed awarią dwóch dysków jednocześnie w ramach jednej grupy RAID.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C4846A6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B496A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4CC28D74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3B7EA40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bCs/>
                <w:color w:val="000000"/>
                <w:sz w:val="20"/>
                <w:szCs w:val="20"/>
              </w:rPr>
              <w:t xml:space="preserve">Wymaganie standardowe </w:t>
            </w:r>
            <w:proofErr w:type="spellStart"/>
            <w:r w:rsidRPr="00824C1C">
              <w:rPr>
                <w:b/>
                <w:bCs/>
                <w:color w:val="000000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1A2703D" w14:textId="77777777" w:rsidR="007D2015" w:rsidRPr="00824C1C" w:rsidRDefault="007D2015" w:rsidP="00C3175C">
            <w:pPr>
              <w:jc w:val="both"/>
              <w:rPr>
                <w:bCs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 xml:space="preserve">Macierz musi posiadać architekturę 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NVMe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824C1C">
              <w:rPr>
                <w:bCs/>
                <w:sz w:val="20"/>
                <w:szCs w:val="20"/>
              </w:rPr>
              <w:t xml:space="preserve">Macierz musi obsługiwać nośniki pamięci typu </w:t>
            </w:r>
            <w:proofErr w:type="spellStart"/>
            <w:r w:rsidRPr="00824C1C">
              <w:rPr>
                <w:bCs/>
                <w:sz w:val="20"/>
                <w:szCs w:val="20"/>
              </w:rPr>
              <w:t>flash</w:t>
            </w:r>
            <w:proofErr w:type="spellEnd"/>
            <w:r w:rsidRPr="00824C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4C1C">
              <w:rPr>
                <w:bCs/>
                <w:sz w:val="20"/>
                <w:szCs w:val="20"/>
              </w:rPr>
              <w:t>NVMe</w:t>
            </w:r>
            <w:proofErr w:type="spellEnd"/>
            <w:r w:rsidRPr="00824C1C">
              <w:rPr>
                <w:bCs/>
                <w:sz w:val="20"/>
                <w:szCs w:val="20"/>
              </w:rPr>
              <w:t xml:space="preserve">. Komunikacja pomiędzy kontrolerami macierzy a dyskami w obudowie kontrolera musi być realizowana w oparciu o protokół </w:t>
            </w:r>
            <w:proofErr w:type="spellStart"/>
            <w:r w:rsidRPr="00824C1C">
              <w:rPr>
                <w:bCs/>
                <w:sz w:val="20"/>
                <w:szCs w:val="20"/>
              </w:rPr>
              <w:t>NVMe</w:t>
            </w:r>
            <w:proofErr w:type="spellEnd"/>
            <w:r w:rsidRPr="00824C1C">
              <w:rPr>
                <w:bCs/>
                <w:sz w:val="20"/>
                <w:szCs w:val="20"/>
              </w:rPr>
              <w:t xml:space="preserve">. Każdy dostarczony z macierzą dysk musi posiadać oznaczenie producenta z informacją, że jest to dysk </w:t>
            </w:r>
            <w:proofErr w:type="spellStart"/>
            <w:r w:rsidRPr="00824C1C">
              <w:rPr>
                <w:bCs/>
                <w:sz w:val="20"/>
                <w:szCs w:val="20"/>
              </w:rPr>
              <w:t>NVMe</w:t>
            </w:r>
            <w:proofErr w:type="spellEnd"/>
            <w:r w:rsidRPr="00824C1C">
              <w:rPr>
                <w:bCs/>
                <w:sz w:val="20"/>
                <w:szCs w:val="20"/>
              </w:rPr>
              <w:t xml:space="preserve">. Macierz musi realizować wszystkie operacje wewnętrzne, pomiędzy nośnikami pamięci (dyski </w:t>
            </w:r>
            <w:proofErr w:type="spellStart"/>
            <w:r w:rsidRPr="00824C1C">
              <w:rPr>
                <w:bCs/>
                <w:sz w:val="20"/>
                <w:szCs w:val="20"/>
              </w:rPr>
              <w:t>NVMe</w:t>
            </w:r>
            <w:proofErr w:type="spellEnd"/>
            <w:r w:rsidRPr="00824C1C">
              <w:rPr>
                <w:bCs/>
                <w:sz w:val="20"/>
                <w:szCs w:val="20"/>
              </w:rPr>
              <w:t xml:space="preserve">) a kontrolerami macierzy, przy wykorzystaniu protokołu </w:t>
            </w:r>
            <w:proofErr w:type="spellStart"/>
            <w:r w:rsidRPr="00824C1C">
              <w:rPr>
                <w:bCs/>
                <w:sz w:val="20"/>
                <w:szCs w:val="20"/>
              </w:rPr>
              <w:t>NVMe</w:t>
            </w:r>
            <w:proofErr w:type="spellEnd"/>
            <w:r w:rsidRPr="00824C1C">
              <w:rPr>
                <w:bCs/>
                <w:sz w:val="20"/>
                <w:szCs w:val="20"/>
              </w:rPr>
              <w:t xml:space="preserve">. </w:t>
            </w:r>
          </w:p>
          <w:p w14:paraId="2FB8CFF1" w14:textId="77777777" w:rsidR="007D2015" w:rsidRPr="00824C1C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0E2D16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E48B59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5E62D4D7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EB976DA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sz w:val="20"/>
                <w:szCs w:val="20"/>
              </w:rPr>
              <w:t>Bezpieczeństwo danych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C116FA0" w14:textId="77777777" w:rsidR="007D2015" w:rsidRPr="00824C1C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>Dyski/przestrzeń "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spare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>" muszą zostać skonfigurowane/dostarczone w ilości/pojemności zgodnej z udokumentowanymi rekomendacjami producenta oferowanej macierzy.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3F40C38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857193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32A1731F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08C1E0A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sz w:val="20"/>
                <w:szCs w:val="20"/>
              </w:rPr>
              <w:lastRenderedPageBreak/>
              <w:t>Interfejsy dyskowe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A69289E" w14:textId="77777777" w:rsidR="007D2015" w:rsidRPr="00824C1C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 xml:space="preserve">Oferowana pojemność użyteczna musi być zbudowana w oparciu o moduły Flash 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NVMe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481E12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B68F39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3C5AAA56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6CA3803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sz w:val="20"/>
                <w:szCs w:val="20"/>
              </w:rPr>
              <w:t>Obsługiwane dyski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6D3BD6E" w14:textId="77777777" w:rsidR="007D2015" w:rsidRPr="00824C1C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>Macierz musi zapewniać obsługę dysków SSD, modułów Flash, dysków SAS, NL-SAS HDD, modułów Storage Class Memory.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41705FE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4DC3BB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581E799A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D457111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sz w:val="20"/>
                <w:szCs w:val="20"/>
              </w:rPr>
              <w:t>Szyfrowanie danych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C0F927B" w14:textId="77777777" w:rsidR="007D2015" w:rsidRPr="00824C1C" w:rsidRDefault="007D2015" w:rsidP="00C3175C">
            <w:pPr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 xml:space="preserve">Macierz musi posiadać funkcjonalność szyfrowania składowanych danych przy użyciu dysków 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samoszyfrujących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 xml:space="preserve">, jak również bez konieczności używania takich dysków. Funkcjonalność szyfrowania musi być również dostępna dla zasobów dyskowych </w:t>
            </w:r>
            <w:proofErr w:type="spellStart"/>
            <w:r w:rsidRPr="00824C1C">
              <w:rPr>
                <w:bCs/>
                <w:color w:val="000000"/>
                <w:sz w:val="20"/>
                <w:szCs w:val="20"/>
              </w:rPr>
              <w:t>wirtualizowanych</w:t>
            </w:r>
            <w:proofErr w:type="spellEnd"/>
            <w:r w:rsidRPr="00824C1C">
              <w:rPr>
                <w:bCs/>
                <w:color w:val="000000"/>
                <w:sz w:val="20"/>
                <w:szCs w:val="20"/>
              </w:rPr>
              <w:t xml:space="preserve"> przez macierz. Zarządzanie kluczami szyfrującymi musi być realizowalne zarówno w trybie lokalnym jak i zdalnym poprzez zastosowanie serwera zarządzającego kluczami. Jeżeli funkcjonalność ta wymaga licencji, należy taką licencję dostarczyć w niniejszym postępowaniu, dla maksymalnej pojemności macierzy i maksymalnej liczby wolumenów.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737BE2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646909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6889D01C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42BE209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sz w:val="20"/>
                <w:szCs w:val="20"/>
              </w:rPr>
              <w:t>Warunki gwarancji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28B4BFC" w14:textId="77777777" w:rsidR="007D2015" w:rsidRDefault="007D2015" w:rsidP="00C3175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24C1C">
              <w:rPr>
                <w:bCs/>
                <w:color w:val="000000"/>
                <w:sz w:val="20"/>
                <w:szCs w:val="20"/>
              </w:rPr>
              <w:t>Macierz musi być objęta serwisem producenta przez okres 36 miesięcy ze zgłaszaniem problemów w trybie 24 godziny na dobę 7 dni w tygodniu, z czasem reakcji 4 godziny od rozpoznania zgłoszonego problemu. W ramach serwisu muszą być dostępne nowe wersje oprogramowania dla macierzy oraz poprawki</w:t>
            </w:r>
            <w:r>
              <w:rPr>
                <w:bCs/>
                <w:color w:val="000000"/>
                <w:sz w:val="20"/>
                <w:szCs w:val="20"/>
              </w:rPr>
              <w:t xml:space="preserve"> – dystrybuowane za pomocą oficjalnego kanału komunikacji (np. portal WWW).</w:t>
            </w:r>
          </w:p>
          <w:p w14:paraId="74EEDEC8" w14:textId="77777777" w:rsidR="007D2015" w:rsidRPr="00824C1C" w:rsidRDefault="007D2015" w:rsidP="00C3175C">
            <w:pPr>
              <w:jc w:val="both"/>
              <w:rPr>
                <w:sz w:val="20"/>
                <w:szCs w:val="20"/>
              </w:rPr>
            </w:pPr>
          </w:p>
          <w:p w14:paraId="0AE58F80" w14:textId="77777777" w:rsidR="007D2015" w:rsidRPr="00824C1C" w:rsidRDefault="007D2015" w:rsidP="00C3175C">
            <w:pPr>
              <w:jc w:val="both"/>
              <w:rPr>
                <w:sz w:val="20"/>
                <w:szCs w:val="20"/>
              </w:rPr>
            </w:pPr>
            <w:r w:rsidRPr="00824C1C">
              <w:rPr>
                <w:sz w:val="20"/>
                <w:szCs w:val="20"/>
              </w:rPr>
              <w:t xml:space="preserve">Serwis urządzeń  realizowany bezpośrednio przez Producenta i/lub we </w:t>
            </w:r>
            <w:r w:rsidRPr="00824C1C">
              <w:rPr>
                <w:sz w:val="20"/>
                <w:szCs w:val="20"/>
              </w:rPr>
              <w:lastRenderedPageBreak/>
              <w:t>współpracy z Autoryzowanym Partnerem Serwisowym Producenta.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3BEEA42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2DA7C3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7B674107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A01AE26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D829176" w14:textId="77777777" w:rsidR="007D2015" w:rsidRPr="00824C1C" w:rsidRDefault="007D2015" w:rsidP="00C3175C">
            <w:pPr>
              <w:rPr>
                <w:sz w:val="20"/>
                <w:szCs w:val="20"/>
              </w:rPr>
            </w:pPr>
            <w:r w:rsidRPr="00824C1C">
              <w:rPr>
                <w:sz w:val="20"/>
                <w:szCs w:val="20"/>
              </w:rPr>
              <w:t>Zamawiający wymaga dokumentacji w języku polskim lub angielskim.</w:t>
            </w:r>
          </w:p>
          <w:p w14:paraId="15135BC6" w14:textId="77777777" w:rsidR="007D2015" w:rsidRPr="00824C1C" w:rsidRDefault="007D2015" w:rsidP="00C3175C">
            <w:pPr>
              <w:rPr>
                <w:sz w:val="20"/>
                <w:szCs w:val="20"/>
              </w:rPr>
            </w:pPr>
            <w:r w:rsidRPr="00824C1C">
              <w:rPr>
                <w:bCs/>
                <w:sz w:val="20"/>
                <w:szCs w:val="20"/>
              </w:rPr>
              <w:t>Możliwość telefonicznego sprawdzenia</w:t>
            </w:r>
            <w:r>
              <w:rPr>
                <w:bCs/>
                <w:sz w:val="20"/>
                <w:szCs w:val="20"/>
              </w:rPr>
              <w:t xml:space="preserve"> konfiguracji sprzętowej </w:t>
            </w:r>
            <w:r w:rsidRPr="00824C1C">
              <w:rPr>
                <w:bCs/>
                <w:sz w:val="20"/>
                <w:szCs w:val="20"/>
              </w:rPr>
              <w:t xml:space="preserve"> oraz warunków gwarancji po podaniu numeru seryjnego bezpośrednio u producenta lub jego przedstawiciela.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2B470CE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585950" w14:textId="77777777" w:rsidR="007D2015" w:rsidRDefault="007D2015" w:rsidP="00C3175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015" w14:paraId="730D28F8" w14:textId="77777777" w:rsidTr="00C3175C"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336AA32" w14:textId="77777777" w:rsidR="007D2015" w:rsidRPr="00824C1C" w:rsidRDefault="007D2015" w:rsidP="00C3175C">
            <w:pPr>
              <w:jc w:val="center"/>
              <w:rPr>
                <w:b/>
                <w:sz w:val="20"/>
                <w:szCs w:val="20"/>
              </w:rPr>
            </w:pPr>
            <w:r w:rsidRPr="00824C1C">
              <w:rPr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32C155C" w14:textId="77777777" w:rsidR="007D2015" w:rsidRDefault="007D2015" w:rsidP="00C3175C">
            <w:pPr>
              <w:rPr>
                <w:sz w:val="20"/>
                <w:szCs w:val="20"/>
              </w:rPr>
            </w:pPr>
            <w:r w:rsidRPr="00824C1C">
              <w:rPr>
                <w:sz w:val="20"/>
                <w:szCs w:val="20"/>
              </w:rPr>
              <w:t>Oferowana macierz jest fabrycznie nowa, i pochodzi z autoryz</w:t>
            </w:r>
            <w:r>
              <w:rPr>
                <w:sz w:val="20"/>
                <w:szCs w:val="20"/>
              </w:rPr>
              <w:t xml:space="preserve">owanego kanału dystrybucyjnego Producenta dla terytorium RP. </w:t>
            </w:r>
          </w:p>
          <w:p w14:paraId="6D3C320D" w14:textId="77777777" w:rsidR="007D2015" w:rsidRDefault="007D2015" w:rsidP="00C3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wymagane są dodatkowe licencje, w celu spełnienia wymaganych funkcjonalności  (o ile w OPZ nie zaznaczono wyraźnie, że dana funkcjonalność nie jest przedmiotem niniejszego postępowania), niezbędne jest ich zaoferowanie w ramach tego postępowania. Wszystkie oferowane wraz z niniejszą macierzą dyskową licencje muszą mieć charakter wieczysty. </w:t>
            </w:r>
          </w:p>
          <w:p w14:paraId="39590F70" w14:textId="77777777" w:rsidR="007D2015" w:rsidRPr="00824C1C" w:rsidRDefault="007D2015" w:rsidP="00C3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Macierz musi w pełni współpracować ponadto z oferowanym w tym postępowaniu serwerem x86 (protokół FC).</w:t>
            </w:r>
          </w:p>
          <w:p w14:paraId="28B21920" w14:textId="77777777" w:rsidR="007D2015" w:rsidRPr="00824C1C" w:rsidRDefault="007D2015" w:rsidP="00C3175C">
            <w:pPr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37AA782" w14:textId="77777777" w:rsidR="007D2015" w:rsidRDefault="007D2015" w:rsidP="00C3175C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78F9A0" w14:textId="77777777" w:rsidR="007D2015" w:rsidRDefault="007D2015" w:rsidP="00C3175C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5AE994A0" w14:textId="77777777" w:rsidR="007D2015" w:rsidRDefault="007D2015" w:rsidP="007D2015">
      <w:pPr>
        <w:pStyle w:val="Zwykytekst1"/>
        <w:ind w:left="1440" w:right="-1"/>
        <w:rPr>
          <w:rFonts w:ascii="Century Gothic" w:hAnsi="Century Gothic" w:cs="Century Gothic"/>
        </w:rPr>
      </w:pPr>
    </w:p>
    <w:p w14:paraId="4DF79292" w14:textId="77777777" w:rsidR="007D2015" w:rsidRDefault="007D2015" w:rsidP="007D2015">
      <w:pPr>
        <w:pStyle w:val="Zwykytekst1"/>
        <w:ind w:right="-1"/>
      </w:pPr>
    </w:p>
    <w:p w14:paraId="153C3B36" w14:textId="77777777" w:rsidR="007D2015" w:rsidRDefault="007D2015" w:rsidP="007D2015">
      <w:pPr>
        <w:pStyle w:val="Zwykytekst1"/>
        <w:ind w:right="-1"/>
      </w:pPr>
    </w:p>
    <w:p w14:paraId="42B83453" w14:textId="634EA596" w:rsidR="007D2015" w:rsidRPr="008474BB" w:rsidRDefault="007D2015" w:rsidP="007D2015">
      <w:pPr>
        <w:pStyle w:val="Akapitzlist"/>
        <w:numPr>
          <w:ilvl w:val="0"/>
          <w:numId w:val="3"/>
        </w:numPr>
        <w:suppressAutoHyphens w:val="0"/>
        <w:spacing w:after="160" w:line="259" w:lineRule="auto"/>
        <w:contextualSpacing/>
        <w:jc w:val="both"/>
      </w:pPr>
      <w:r w:rsidRPr="008474BB">
        <w:t xml:space="preserve">Zamawiający wymaga dostarczenia </w:t>
      </w:r>
      <w:bookmarkStart w:id="0" w:name="_Hlk118461227"/>
      <w:r>
        <w:t>w/w produktów (</w:t>
      </w:r>
      <w:r w:rsidR="00A54443">
        <w:t xml:space="preserve">pkt </w:t>
      </w:r>
      <w:r>
        <w:t xml:space="preserve">1,2 oraz 3) </w:t>
      </w:r>
      <w:r w:rsidRPr="008474BB">
        <w:t>wraz z usług</w:t>
      </w:r>
      <w:r>
        <w:t>ą</w:t>
      </w:r>
      <w:r w:rsidRPr="008474BB">
        <w:t xml:space="preserve"> wsparcia wdrożeniowego i powdrożeniowego świadczonego przez Dostawcę (</w:t>
      </w:r>
      <w:r>
        <w:t>20</w:t>
      </w:r>
      <w:r w:rsidRPr="008474BB">
        <w:t xml:space="preserve"> godzin biznesowych [</w:t>
      </w:r>
      <w:proofErr w:type="spellStart"/>
      <w:r w:rsidRPr="008474BB">
        <w:t>pn-pt</w:t>
      </w:r>
      <w:proofErr w:type="spellEnd"/>
      <w:r>
        <w:t xml:space="preserve"> w godz.</w:t>
      </w:r>
      <w:r w:rsidRPr="008474BB">
        <w:t xml:space="preserve"> 08</w:t>
      </w:r>
      <w:r>
        <w:t xml:space="preserve">:00 – </w:t>
      </w:r>
      <w:r w:rsidRPr="008474BB">
        <w:t>16</w:t>
      </w:r>
      <w:r>
        <w:t>:00</w:t>
      </w:r>
      <w:r w:rsidRPr="008474BB">
        <w:t xml:space="preserve">], do wykorzystania w ciągu roku kalendarzowego od </w:t>
      </w:r>
      <w:r w:rsidR="00A54443">
        <w:t xml:space="preserve">dnia </w:t>
      </w:r>
      <w:r w:rsidRPr="008474BB">
        <w:t xml:space="preserve">podpisania przez Strony umowy). </w:t>
      </w:r>
      <w:bookmarkEnd w:id="0"/>
      <w:r w:rsidRPr="008474BB">
        <w:t>Usługa konsultacyjna świadczona zdalnie</w:t>
      </w:r>
      <w:r>
        <w:t xml:space="preserve">, </w:t>
      </w:r>
      <w:r w:rsidRPr="008474BB">
        <w:t xml:space="preserve"> za pomocą środków elektronicznych (np. interaktywnych komunikatorów on-line, telefonu lub poczty e-mail)</w:t>
      </w:r>
      <w:r>
        <w:t xml:space="preserve"> lub w siedzibie Wykonawcy</w:t>
      </w:r>
      <w:r w:rsidRPr="008474BB">
        <w:t>, polegać będzie na asyście personelowi UKW, podczas wdrażania zamawian</w:t>
      </w:r>
      <w:r>
        <w:t>ych</w:t>
      </w:r>
      <w:r w:rsidRPr="008474BB">
        <w:t xml:space="preserve"> produkt</w:t>
      </w:r>
      <w:r>
        <w:t xml:space="preserve">ów, ich integracji wzajemnej oraz integracji z będącym w zasobach Zamawiającego systemem VEEAM </w:t>
      </w:r>
      <w:r>
        <w:lastRenderedPageBreak/>
        <w:t xml:space="preserve">BACKUP [m.in. uruchomienie głównej konsoli w/w oprogramowania, uruchomienie funkcjonalności biblioteki taśmowej, partycjonowanie macierzy] </w:t>
      </w:r>
      <w:r w:rsidRPr="008474BB">
        <w:t xml:space="preserve"> (on-line lub na miejscu, po wcześniejszym uzgodnieniu tego faktu przez Strony, w trybie operacyjnym: mail, telefon - przewiduje się co najmniej 80% świadczenia tej usługi w trybie zdalnym) oraz jego utrzymania w środowisku produkcyjnym, w zakresie czasowym do jednego  roku kalendarzowego od podpisania przez Strony umowy. </w:t>
      </w:r>
      <w:r w:rsidRPr="009A49C0">
        <w:rPr>
          <w:b/>
          <w:bCs/>
        </w:rPr>
        <w:t>Czas reakcji Wykonawcy na zgłoszenie</w:t>
      </w:r>
      <w:r>
        <w:rPr>
          <w:b/>
          <w:bCs/>
        </w:rPr>
        <w:t xml:space="preserve"> w zakresie wsparcia Zamawiającego</w:t>
      </w:r>
      <w:r w:rsidRPr="008474BB">
        <w:t xml:space="preserve"> (e-mail, telefon lub dedykowany portal WWW </w:t>
      </w:r>
      <w:r>
        <w:t>W</w:t>
      </w:r>
      <w:r w:rsidRPr="008474BB">
        <w:t xml:space="preserve">ykonawcy): najpóźniej </w:t>
      </w:r>
      <w:proofErr w:type="spellStart"/>
      <w:r w:rsidRPr="008474BB">
        <w:t>next</w:t>
      </w:r>
      <w:proofErr w:type="spellEnd"/>
      <w:r w:rsidRPr="008474BB">
        <w:t xml:space="preserve"> business </w:t>
      </w:r>
      <w:proofErr w:type="spellStart"/>
      <w:r w:rsidRPr="008474BB">
        <w:t>day</w:t>
      </w:r>
      <w:proofErr w:type="spellEnd"/>
      <w:r>
        <w:t xml:space="preserve"> (NBD)</w:t>
      </w:r>
      <w:r w:rsidRPr="008474BB">
        <w:t>. Wykonawca zobowiązuje się również wspierać Zamawiającego, jeżeli zajdzie konieczność zarejestrowania zgłoszenia przez Zamawiającego w portalu Producenta lub złoży takie zgłoszenie w imieniu Zamawiającego, po wcześniejszym ustaleniu  operacyjnym z Zamawiającym sposobu postępowania w danej sytuacji.</w:t>
      </w:r>
      <w:r>
        <w:t xml:space="preserve"> W sprawach technicznych usługa wsparcia  świadczona będzie przez wykwalifikowany personel Wykonawcy, posiadający wiedzę i doświadczenie w zakresie świadczenia wsparcia, zgodnie z oficjalną polityką Producenta/ Producentów oferowanych rozwiązań. Niniejsza usługa wsparcia nie podlega procedurze odbioru.</w:t>
      </w:r>
    </w:p>
    <w:p w14:paraId="2FBC265A" w14:textId="77777777" w:rsidR="007D2015" w:rsidRDefault="007D2015" w:rsidP="007D2015">
      <w:pPr>
        <w:pStyle w:val="Zwykytekst1"/>
        <w:ind w:right="-1"/>
      </w:pPr>
    </w:p>
    <w:p w14:paraId="283E68B3" w14:textId="2CCA5D8D" w:rsidR="007D2015" w:rsidRDefault="00CA098E" w:rsidP="007D2015">
      <w:pPr>
        <w:tabs>
          <w:tab w:val="left" w:pos="7995"/>
          <w:tab w:val="right" w:pos="8931"/>
        </w:tabs>
        <w:jc w:val="both"/>
        <w:rPr>
          <w:rFonts w:ascii="Century Gothic" w:hAnsi="Century Gothic"/>
          <w:b/>
          <w:sz w:val="20"/>
          <w:szCs w:val="22"/>
        </w:rPr>
      </w:pPr>
      <w:r>
        <w:rPr>
          <w:rFonts w:ascii="Century Gothic" w:hAnsi="Century Gothic"/>
          <w:b/>
          <w:sz w:val="20"/>
          <w:szCs w:val="22"/>
        </w:rPr>
        <w:t xml:space="preserve">  </w:t>
      </w:r>
    </w:p>
    <w:p w14:paraId="3EAAA130" w14:textId="77777777" w:rsidR="00BA472E" w:rsidRDefault="00BA472E"/>
    <w:sectPr w:rsidR="00BA472E" w:rsidSect="007D2015">
      <w:pgSz w:w="16838" w:h="11906" w:orient="landscape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" w15:restartNumberingAfterBreak="0">
    <w:nsid w:val="1FA4063F"/>
    <w:multiLevelType w:val="hybridMultilevel"/>
    <w:tmpl w:val="7BCC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657AA"/>
    <w:multiLevelType w:val="hybridMultilevel"/>
    <w:tmpl w:val="BC64ECCA"/>
    <w:lvl w:ilvl="0" w:tplc="1FBA6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A2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15"/>
    <w:rsid w:val="00171B8A"/>
    <w:rsid w:val="00382052"/>
    <w:rsid w:val="00517CC0"/>
    <w:rsid w:val="00685771"/>
    <w:rsid w:val="007438E5"/>
    <w:rsid w:val="00755CF0"/>
    <w:rsid w:val="007D2015"/>
    <w:rsid w:val="008031FE"/>
    <w:rsid w:val="008F2E79"/>
    <w:rsid w:val="009F7786"/>
    <w:rsid w:val="00A54443"/>
    <w:rsid w:val="00A83D9D"/>
    <w:rsid w:val="00B5547E"/>
    <w:rsid w:val="00B62810"/>
    <w:rsid w:val="00BA472E"/>
    <w:rsid w:val="00BE7840"/>
    <w:rsid w:val="00C31A77"/>
    <w:rsid w:val="00CA098E"/>
    <w:rsid w:val="00D1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7D14"/>
  <w15:chartTrackingRefBased/>
  <w15:docId w15:val="{ED46E8A7-D580-4808-833B-81952289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7D2015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D2015"/>
    <w:pPr>
      <w:ind w:left="708"/>
    </w:pPr>
  </w:style>
  <w:style w:type="paragraph" w:customStyle="1" w:styleId="Styl3">
    <w:name w:val="Styl3"/>
    <w:basedOn w:val="Normalny"/>
    <w:rsid w:val="007D2015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D20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3284</Words>
  <Characters>19707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2023-05-31T11:32:00Z</dcterms:created>
  <dcterms:modified xsi:type="dcterms:W3CDTF">2023-05-31T11:32:00Z</dcterms:modified>
</cp:coreProperties>
</file>