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FDCFE" w14:textId="3D0683C8" w:rsidR="00501035" w:rsidRPr="00797293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left"/>
        <w:rPr>
          <w:rFonts w:ascii="Times New Roman" w:hAnsi="Times New Roman" w:cs="Times New Roman"/>
          <w:sz w:val="22"/>
          <w:szCs w:val="22"/>
        </w:rPr>
      </w:pPr>
      <w:bookmarkStart w:id="0" w:name="_Toc512591816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97293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167927">
        <w:rPr>
          <w:rFonts w:ascii="Times New Roman" w:hAnsi="Times New Roman" w:cs="Times New Roman"/>
          <w:sz w:val="22"/>
          <w:szCs w:val="22"/>
        </w:rPr>
        <w:t>7</w:t>
      </w:r>
    </w:p>
    <w:p w14:paraId="59A7376E" w14:textId="254C85A5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501035">
        <w:rPr>
          <w:rFonts w:ascii="Times New Roman" w:hAnsi="Times New Roman" w:cs="Times New Roman"/>
          <w:sz w:val="28"/>
          <w:szCs w:val="28"/>
        </w:rPr>
        <w:t>Szczegółowy opis przedmiotu zamówienia</w:t>
      </w:r>
    </w:p>
    <w:p w14:paraId="79CC14F2" w14:textId="213DFCF9" w:rsidR="00501035" w:rsidRPr="00501035" w:rsidRDefault="00501035" w:rsidP="00501035"/>
    <w:p w14:paraId="2993E6C0" w14:textId="1E0B323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 xml:space="preserve">Zamawiający wymaga, aby dostarczony Sprzęt był fabrycznie nowy, tzn. wyprodukowany nie wcześniej niż 6 miesięcy przed dniem składania ofert oraz aby nie był używany. </w:t>
      </w:r>
    </w:p>
    <w:p w14:paraId="2A081756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Całość dostarczanego Sprzętu musi pochodzić z autoryzowanego kanału sprzedaży producentów zaoferowanego sprzętu.</w:t>
      </w:r>
    </w:p>
    <w:p w14:paraId="137411F1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Oferowany Sprzęt w dniu składania ofert nie może być przeznaczony przez producenta do wycofania z produkcji.</w:t>
      </w:r>
    </w:p>
    <w:p w14:paraId="66E0F9E7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Wszystkie urządzenia muszą współpracować z siecią energetyczną o parametrach: 230 V ± 10%, 50 Hz., jednofazowo.</w:t>
      </w:r>
    </w:p>
    <w:p w14:paraId="5FE00B53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pacing w:val="-6"/>
          <w:sz w:val="22"/>
          <w:szCs w:val="22"/>
        </w:rPr>
      </w:pPr>
      <w:r w:rsidRPr="00501035">
        <w:rPr>
          <w:sz w:val="22"/>
          <w:szCs w:val="22"/>
        </w:rPr>
        <w:t>W cenie oferty Wykonawca winien skalkulować wszystkie koszty, jakie poniesie w związku z realizacją zamówienia np. dodatkowych materiałów, czynności konserwacyjnych, magazynowania, transportu, rozładunku, dokonania odbiorów, gwarancji, koszty licencji, opłaty i podatki, koszty instalacji oprogramowania oraz wszystkie dodatkowe koszty powstałe w trakcie wdrożenia.</w:t>
      </w:r>
    </w:p>
    <w:p w14:paraId="31BB0A1C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E60907E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7EDB577" w14:textId="1CEEC842" w:rsidR="00501035" w:rsidRPr="00501035" w:rsidRDefault="009F7563" w:rsidP="00501035">
      <w:pPr>
        <w:pStyle w:val="Nagwek1"/>
        <w:numPr>
          <w:ilvl w:val="0"/>
          <w:numId w:val="1"/>
        </w:numPr>
        <w:spacing w:before="0"/>
        <w:ind w:left="357" w:firstLine="0"/>
        <w:rPr>
          <w:rFonts w:ascii="Times New Roman" w:hAnsi="Times New Roman" w:cs="Times New Roman"/>
          <w:sz w:val="28"/>
          <w:szCs w:val="28"/>
        </w:rPr>
      </w:pPr>
      <w:bookmarkStart w:id="1" w:name="_Hlk53748471"/>
      <w:r w:rsidRPr="00501035">
        <w:rPr>
          <w:rFonts w:ascii="Times New Roman" w:hAnsi="Times New Roman" w:cs="Times New Roman"/>
          <w:sz w:val="28"/>
          <w:szCs w:val="28"/>
        </w:rPr>
        <w:t xml:space="preserve">Wymagania dla </w:t>
      </w:r>
      <w:r w:rsidR="001224BD">
        <w:rPr>
          <w:rFonts w:ascii="Times New Roman" w:hAnsi="Times New Roman" w:cs="Times New Roman"/>
          <w:sz w:val="28"/>
          <w:szCs w:val="28"/>
        </w:rPr>
        <w:t>monitora 2</w:t>
      </w:r>
      <w:r w:rsidR="001C175D">
        <w:rPr>
          <w:rFonts w:ascii="Times New Roman" w:hAnsi="Times New Roman" w:cs="Times New Roman"/>
          <w:sz w:val="28"/>
          <w:szCs w:val="28"/>
        </w:rPr>
        <w:t>7</w:t>
      </w:r>
      <w:bookmarkEnd w:id="0"/>
      <w:r w:rsidR="007C748E" w:rsidRPr="007C748E">
        <w:rPr>
          <w:rFonts w:ascii="Times New Roman" w:hAnsi="Times New Roman" w:cs="Times New Roman"/>
          <w:sz w:val="28"/>
          <w:szCs w:val="28"/>
        </w:rPr>
        <w:t>"</w:t>
      </w:r>
      <w:r w:rsidR="007C748E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08060FBB" w14:textId="77777777" w:rsidR="009F7563" w:rsidRPr="00501035" w:rsidRDefault="009F7563" w:rsidP="009F7563">
      <w:pPr>
        <w:tabs>
          <w:tab w:val="left" w:pos="1418"/>
          <w:tab w:val="left" w:pos="2694"/>
        </w:tabs>
        <w:spacing w:after="0" w:line="240" w:lineRule="auto"/>
        <w:jc w:val="both"/>
        <w:rPr>
          <w:b/>
          <w:bCs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029"/>
        <w:gridCol w:w="8064"/>
      </w:tblGrid>
      <w:tr w:rsidR="00735850" w:rsidRPr="00501035" w14:paraId="6C157153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1238C72F" w14:textId="77777777" w:rsidR="00735850" w:rsidRPr="00507E2F" w:rsidRDefault="00735850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273E08CD" w14:textId="7E0EDD79" w:rsidR="00735850" w:rsidRPr="00507E2F" w:rsidRDefault="009324A0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Rozdzielczość nominalna</w:t>
            </w:r>
          </w:p>
        </w:tc>
        <w:tc>
          <w:tcPr>
            <w:tcW w:w="8064" w:type="dxa"/>
            <w:vAlign w:val="center"/>
          </w:tcPr>
          <w:p w14:paraId="050A02AE" w14:textId="31C5C265" w:rsidR="00EF7A6D" w:rsidRPr="00507E2F" w:rsidRDefault="009324A0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1920 x 1080 (FHD)</w:t>
            </w:r>
          </w:p>
        </w:tc>
      </w:tr>
      <w:tr w:rsidR="00EE2E46" w:rsidRPr="00501035" w14:paraId="3D2BC652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52B84478" w14:textId="77777777" w:rsidR="00EE2E46" w:rsidRPr="00507E2F" w:rsidRDefault="00EE2E46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02277E46" w14:textId="625B821A" w:rsidR="00EE2E46" w:rsidRDefault="00EE2E46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Przekątna ekranu</w:t>
            </w:r>
          </w:p>
        </w:tc>
        <w:tc>
          <w:tcPr>
            <w:tcW w:w="8064" w:type="dxa"/>
            <w:vAlign w:val="center"/>
          </w:tcPr>
          <w:p w14:paraId="4023EC44" w14:textId="41E2DF4C" w:rsidR="00EE2E46" w:rsidRDefault="00EE2E46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27</w:t>
            </w:r>
            <w:r w:rsidRPr="007C748E">
              <w:rPr>
                <w:sz w:val="28"/>
                <w:szCs w:val="28"/>
              </w:rPr>
              <w:t>"</w:t>
            </w:r>
          </w:p>
        </w:tc>
      </w:tr>
      <w:tr w:rsidR="00AA469C" w:rsidRPr="00501035" w14:paraId="21553DD5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568C0C2A" w14:textId="77777777" w:rsidR="00AA469C" w:rsidRPr="00507E2F" w:rsidRDefault="00AA469C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55BB9CF8" w14:textId="6908F15F" w:rsidR="00AA469C" w:rsidRDefault="00AA469C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Typ matrycy</w:t>
            </w:r>
          </w:p>
        </w:tc>
        <w:tc>
          <w:tcPr>
            <w:tcW w:w="8064" w:type="dxa"/>
          </w:tcPr>
          <w:p w14:paraId="6A4EB494" w14:textId="5C35E8CE" w:rsidR="000A7D58" w:rsidRDefault="000A7D58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Dopuszcza się matryce:</w:t>
            </w:r>
          </w:p>
          <w:p w14:paraId="41A871F2" w14:textId="503AAD6C" w:rsidR="000A7D58" w:rsidRDefault="00AA469C" w:rsidP="000A7D58">
            <w:pPr>
              <w:pStyle w:val="Akapitzlist"/>
              <w:numPr>
                <w:ilvl w:val="0"/>
                <w:numId w:val="36"/>
              </w:numPr>
              <w:spacing w:before="240"/>
              <w:jc w:val="both"/>
              <w:rPr>
                <w:lang w:eastAsia="zh-TW"/>
              </w:rPr>
            </w:pPr>
            <w:r w:rsidRPr="000A7D58">
              <w:rPr>
                <w:lang w:eastAsia="zh-TW"/>
              </w:rPr>
              <w:t>Matowa, LED</w:t>
            </w:r>
            <w:r w:rsidR="000A7D58" w:rsidRPr="000A7D58">
              <w:rPr>
                <w:lang w:eastAsia="zh-TW"/>
              </w:rPr>
              <w:t xml:space="preserve">, IPS </w:t>
            </w:r>
          </w:p>
          <w:p w14:paraId="1981BDA6" w14:textId="7F7C3BF5" w:rsidR="00AA469C" w:rsidRPr="000A7D58" w:rsidRDefault="000A7D58" w:rsidP="000A7D58">
            <w:pPr>
              <w:pStyle w:val="Akapitzlist"/>
              <w:numPr>
                <w:ilvl w:val="0"/>
                <w:numId w:val="36"/>
              </w:numPr>
              <w:spacing w:before="240" w:after="240"/>
              <w:jc w:val="both"/>
              <w:rPr>
                <w:lang w:eastAsia="zh-TW"/>
              </w:rPr>
            </w:pPr>
            <w:r>
              <w:rPr>
                <w:lang w:eastAsia="zh-TW"/>
              </w:rPr>
              <w:t>Matowa, LED, VA</w:t>
            </w:r>
          </w:p>
        </w:tc>
      </w:tr>
      <w:tr w:rsidR="009F7563" w:rsidRPr="00501035" w14:paraId="122321A3" w14:textId="77777777" w:rsidTr="00501035">
        <w:trPr>
          <w:trHeight w:val="611"/>
        </w:trPr>
        <w:tc>
          <w:tcPr>
            <w:tcW w:w="534" w:type="dxa"/>
            <w:vAlign w:val="center"/>
          </w:tcPr>
          <w:p w14:paraId="0DA96C20" w14:textId="77777777" w:rsidR="009F7563" w:rsidRPr="00507E2F" w:rsidRDefault="009F7563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37A5BB8D" w14:textId="46401F55" w:rsidR="009F7563" w:rsidRPr="00507E2F" w:rsidRDefault="009324A0" w:rsidP="00FB41B8">
            <w:pPr>
              <w:spacing w:before="240"/>
              <w:jc w:val="center"/>
            </w:pPr>
            <w:r>
              <w:t>Jasność</w:t>
            </w:r>
          </w:p>
        </w:tc>
        <w:tc>
          <w:tcPr>
            <w:tcW w:w="8064" w:type="dxa"/>
            <w:vAlign w:val="center"/>
          </w:tcPr>
          <w:p w14:paraId="6C18E557" w14:textId="2E7DC091" w:rsidR="009F7563" w:rsidRPr="009324A0" w:rsidRDefault="009324A0" w:rsidP="00507E2F">
            <w:pPr>
              <w:spacing w:after="0" w:line="240" w:lineRule="auto"/>
              <w:rPr>
                <w:vertAlign w:val="superscript"/>
              </w:rPr>
            </w:pPr>
            <w:r>
              <w:rPr>
                <w:lang w:eastAsia="zh-TW"/>
              </w:rPr>
              <w:t xml:space="preserve">Minimum </w:t>
            </w:r>
            <w:r w:rsidR="00AA469C">
              <w:rPr>
                <w:lang w:eastAsia="zh-TW"/>
              </w:rPr>
              <w:t>250</w:t>
            </w:r>
            <w:r>
              <w:rPr>
                <w:lang w:eastAsia="zh-TW"/>
              </w:rPr>
              <w:t xml:space="preserve"> cd/m</w:t>
            </w:r>
            <w:r>
              <w:rPr>
                <w:vertAlign w:val="superscript"/>
                <w:lang w:eastAsia="zh-TW"/>
              </w:rPr>
              <w:t>2</w:t>
            </w:r>
          </w:p>
        </w:tc>
      </w:tr>
      <w:tr w:rsidR="009324A0" w:rsidRPr="00501035" w14:paraId="21770C63" w14:textId="77777777" w:rsidTr="00C17558">
        <w:trPr>
          <w:trHeight w:val="340"/>
        </w:trPr>
        <w:tc>
          <w:tcPr>
            <w:tcW w:w="534" w:type="dxa"/>
            <w:vAlign w:val="center"/>
          </w:tcPr>
          <w:p w14:paraId="45DDB895" w14:textId="77777777" w:rsidR="009324A0" w:rsidRPr="00507E2F" w:rsidRDefault="009324A0" w:rsidP="00507E2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5FF194C" w14:textId="521CB28D" w:rsidR="009324A0" w:rsidRDefault="009324A0" w:rsidP="009324A0">
            <w:pPr>
              <w:spacing w:before="240"/>
              <w:jc w:val="center"/>
            </w:pPr>
            <w:r>
              <w:t>Kontrast statyczny</w:t>
            </w:r>
          </w:p>
        </w:tc>
        <w:tc>
          <w:tcPr>
            <w:tcW w:w="8064" w:type="dxa"/>
          </w:tcPr>
          <w:p w14:paraId="067A6B67" w14:textId="10AB040C" w:rsidR="009324A0" w:rsidRDefault="009324A0" w:rsidP="00C82310">
            <w:pPr>
              <w:spacing w:before="24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Minimum </w:t>
            </w:r>
            <w:r w:rsidR="00AA469C">
              <w:rPr>
                <w:bCs/>
              </w:rPr>
              <w:t>1</w:t>
            </w:r>
            <w:r>
              <w:rPr>
                <w:bCs/>
              </w:rPr>
              <w:t> </w:t>
            </w:r>
            <w:r w:rsidR="00AA469C">
              <w:rPr>
                <w:bCs/>
              </w:rPr>
              <w:t>3</w:t>
            </w:r>
            <w:r>
              <w:rPr>
                <w:bCs/>
              </w:rPr>
              <w:t>00:1</w:t>
            </w:r>
          </w:p>
        </w:tc>
      </w:tr>
      <w:tr w:rsidR="00507E2F" w:rsidRPr="00501035" w14:paraId="5D1AA555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3F5DCD98" w14:textId="77777777" w:rsidR="00507E2F" w:rsidRPr="00507E2F" w:rsidRDefault="00507E2F" w:rsidP="00507E2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0CA50348" w14:textId="1F53A35A" w:rsidR="00507E2F" w:rsidRPr="00507E2F" w:rsidRDefault="009324A0" w:rsidP="009324A0">
            <w:pPr>
              <w:spacing w:before="240"/>
              <w:jc w:val="center"/>
            </w:pPr>
            <w:r>
              <w:t>Kontrast dynamiczny</w:t>
            </w:r>
          </w:p>
        </w:tc>
        <w:tc>
          <w:tcPr>
            <w:tcW w:w="8064" w:type="dxa"/>
            <w:vAlign w:val="center"/>
          </w:tcPr>
          <w:p w14:paraId="32FADDC5" w14:textId="46C4EA6F" w:rsidR="00507E2F" w:rsidRPr="00507E2F" w:rsidRDefault="009324A0" w:rsidP="00C82310">
            <w:pPr>
              <w:spacing w:before="24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Minimum </w:t>
            </w:r>
            <w:r w:rsidR="00AA469C">
              <w:rPr>
                <w:bCs/>
              </w:rPr>
              <w:t>2</w:t>
            </w:r>
            <w:r>
              <w:rPr>
                <w:bCs/>
              </w:rPr>
              <w:t>0 000 000:1</w:t>
            </w:r>
          </w:p>
        </w:tc>
      </w:tr>
      <w:tr w:rsidR="009F7563" w:rsidRPr="00501035" w14:paraId="3FD3B88A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372DA01F" w14:textId="77777777" w:rsidR="009F7563" w:rsidRPr="00507E2F" w:rsidRDefault="009F7563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C648FF6" w14:textId="34566709" w:rsidR="009F7563" w:rsidRPr="00507E2F" w:rsidRDefault="009324A0" w:rsidP="00FB41B8">
            <w:pPr>
              <w:spacing w:before="240"/>
              <w:jc w:val="center"/>
            </w:pPr>
            <w:r>
              <w:rPr>
                <w:bCs/>
              </w:rPr>
              <w:t>Czas reakcji</w:t>
            </w:r>
          </w:p>
        </w:tc>
        <w:tc>
          <w:tcPr>
            <w:tcW w:w="8064" w:type="dxa"/>
            <w:vAlign w:val="center"/>
          </w:tcPr>
          <w:p w14:paraId="50A75E26" w14:textId="5823C285" w:rsidR="009F7563" w:rsidRPr="00EF7A6D" w:rsidRDefault="009324A0" w:rsidP="00507E2F">
            <w:pPr>
              <w:spacing w:after="0" w:line="240" w:lineRule="auto"/>
              <w:jc w:val="both"/>
              <w:rPr>
                <w:color w:val="00B050"/>
              </w:rPr>
            </w:pPr>
            <w:r>
              <w:rPr>
                <w:color w:val="auto"/>
              </w:rPr>
              <w:t>Maksimum 5 ms</w:t>
            </w:r>
          </w:p>
        </w:tc>
      </w:tr>
      <w:tr w:rsidR="00FB41B8" w:rsidRPr="00501035" w14:paraId="03C938B2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784AFDF3" w14:textId="77777777" w:rsidR="00FB41B8" w:rsidRPr="00507E2F" w:rsidRDefault="00FB41B8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FFD5C18" w14:textId="4EF804E1" w:rsidR="00FB41B8" w:rsidRPr="00507E2F" w:rsidRDefault="009324A0" w:rsidP="00FB41B8">
            <w:pPr>
              <w:spacing w:before="240"/>
              <w:jc w:val="center"/>
              <w:rPr>
                <w:bCs/>
              </w:rPr>
            </w:pPr>
            <w:r>
              <w:rPr>
                <w:bCs/>
              </w:rPr>
              <w:t>Kąt widzenia w poziomie</w:t>
            </w:r>
          </w:p>
        </w:tc>
        <w:tc>
          <w:tcPr>
            <w:tcW w:w="8064" w:type="dxa"/>
            <w:vAlign w:val="center"/>
          </w:tcPr>
          <w:p w14:paraId="65C2F8A1" w14:textId="1587C450" w:rsidR="00FB41B8" w:rsidRPr="00EF7A6D" w:rsidRDefault="009324A0" w:rsidP="00507E2F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Minimum 170 stopni</w:t>
            </w:r>
          </w:p>
        </w:tc>
      </w:tr>
      <w:tr w:rsidR="00211E08" w:rsidRPr="00501035" w14:paraId="0303B361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01CD32DC" w14:textId="77777777" w:rsidR="00211E08" w:rsidRPr="00507E2F" w:rsidRDefault="00211E08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3824C60A" w14:textId="0E094C66" w:rsidR="00211E08" w:rsidRDefault="009324A0" w:rsidP="00FB41B8">
            <w:pPr>
              <w:spacing w:before="240"/>
              <w:jc w:val="center"/>
              <w:rPr>
                <w:bCs/>
              </w:rPr>
            </w:pPr>
            <w:r>
              <w:rPr>
                <w:bCs/>
              </w:rPr>
              <w:t>Kąt widzenia w pionie</w:t>
            </w:r>
          </w:p>
        </w:tc>
        <w:tc>
          <w:tcPr>
            <w:tcW w:w="8064" w:type="dxa"/>
            <w:vAlign w:val="center"/>
          </w:tcPr>
          <w:p w14:paraId="75CE363D" w14:textId="024C8888" w:rsidR="00211E08" w:rsidRDefault="009324A0" w:rsidP="00507E2F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Minimum 170 stopni</w:t>
            </w:r>
          </w:p>
        </w:tc>
      </w:tr>
      <w:tr w:rsidR="001E0DFF" w:rsidRPr="00501035" w14:paraId="4EA124C1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1F0F1DBB" w14:textId="77777777" w:rsidR="001E0DFF" w:rsidRPr="00507E2F" w:rsidRDefault="001E0DFF" w:rsidP="001E0DF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21F46301" w14:textId="539273BA" w:rsidR="001E0DFF" w:rsidRDefault="009324A0" w:rsidP="001E0DFF">
            <w:pPr>
              <w:spacing w:before="240"/>
              <w:jc w:val="center"/>
              <w:rPr>
                <w:bCs/>
              </w:rPr>
            </w:pPr>
            <w:r>
              <w:t>Zasilacz</w:t>
            </w:r>
          </w:p>
        </w:tc>
        <w:tc>
          <w:tcPr>
            <w:tcW w:w="8064" w:type="dxa"/>
            <w:vAlign w:val="center"/>
          </w:tcPr>
          <w:p w14:paraId="3786EF8F" w14:textId="7F423956" w:rsidR="001E0DFF" w:rsidRDefault="009324A0" w:rsidP="001E0DFF">
            <w:pPr>
              <w:spacing w:after="0" w:line="240" w:lineRule="auto"/>
              <w:jc w:val="both"/>
              <w:rPr>
                <w:color w:val="auto"/>
              </w:rPr>
            </w:pPr>
            <w:r>
              <w:t>Zasilacz wbudowany w monitor z wyjmowanym kablem zasilającym</w:t>
            </w:r>
            <w:r w:rsidR="001E0DFF" w:rsidRPr="00507E2F">
              <w:t xml:space="preserve"> </w:t>
            </w:r>
          </w:p>
        </w:tc>
      </w:tr>
      <w:tr w:rsidR="00936ACA" w:rsidRPr="00501035" w14:paraId="69B630DA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5AEB74C8" w14:textId="77777777" w:rsidR="00936ACA" w:rsidRPr="00507E2F" w:rsidRDefault="00936ACA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15EBF85F" w14:textId="105440D2" w:rsidR="00936ACA" w:rsidRDefault="009324A0" w:rsidP="00936ACA">
            <w:pPr>
              <w:spacing w:before="240"/>
              <w:jc w:val="center"/>
            </w:pPr>
            <w:r>
              <w:t xml:space="preserve">Złącza </w:t>
            </w:r>
          </w:p>
        </w:tc>
        <w:tc>
          <w:tcPr>
            <w:tcW w:w="8064" w:type="dxa"/>
            <w:vAlign w:val="center"/>
          </w:tcPr>
          <w:p w14:paraId="14E2FA1B" w14:textId="66B54FDC" w:rsidR="00B154F8" w:rsidRPr="00B154F8" w:rsidRDefault="00B154F8" w:rsidP="00B154F8">
            <w:pPr>
              <w:spacing w:before="240"/>
              <w:jc w:val="both"/>
            </w:pPr>
            <w:r>
              <w:t>Minimalna ilość złącz wideo:</w:t>
            </w:r>
          </w:p>
          <w:p w14:paraId="1E36CC4E" w14:textId="4C7B997A" w:rsidR="00936ACA" w:rsidRPr="00AA469C" w:rsidRDefault="00AA469C" w:rsidP="00BB0BA9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sz w:val="22"/>
                <w:szCs w:val="22"/>
              </w:rPr>
            </w:pPr>
            <w:r w:rsidRPr="00AA469C">
              <w:rPr>
                <w:sz w:val="22"/>
                <w:szCs w:val="22"/>
              </w:rPr>
              <w:t>1x HDMI</w:t>
            </w:r>
          </w:p>
          <w:p w14:paraId="18A41494" w14:textId="7ED93FBC" w:rsidR="00BB0BA9" w:rsidRDefault="00BB0BA9" w:rsidP="00B154F8">
            <w:pPr>
              <w:pStyle w:val="Akapitzlist"/>
              <w:numPr>
                <w:ilvl w:val="0"/>
                <w:numId w:val="35"/>
              </w:numPr>
              <w:spacing w:after="240"/>
              <w:jc w:val="both"/>
            </w:pPr>
            <w:r>
              <w:lastRenderedPageBreak/>
              <w:t>1x</w:t>
            </w:r>
            <w:r w:rsidR="00B154F8">
              <w:t xml:space="preserve"> Display Port</w:t>
            </w:r>
          </w:p>
        </w:tc>
      </w:tr>
      <w:tr w:rsidR="00BB0BA9" w:rsidRPr="00501035" w14:paraId="24AEFE3E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16134FE1" w14:textId="77777777" w:rsidR="00BB0BA9" w:rsidRPr="00507E2F" w:rsidRDefault="00BB0BA9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7DEC1957" w14:textId="0C718100" w:rsidR="00BB0BA9" w:rsidRDefault="00BB0BA9" w:rsidP="00936ACA">
            <w:pPr>
              <w:spacing w:before="240"/>
              <w:jc w:val="center"/>
            </w:pPr>
            <w:r>
              <w:t>Głośniki</w:t>
            </w:r>
          </w:p>
        </w:tc>
        <w:tc>
          <w:tcPr>
            <w:tcW w:w="8064" w:type="dxa"/>
            <w:vAlign w:val="center"/>
          </w:tcPr>
          <w:p w14:paraId="65951E0E" w14:textId="0AE62757" w:rsidR="00BB0BA9" w:rsidRPr="00BB0BA9" w:rsidRDefault="00BB0BA9" w:rsidP="00BB0BA9">
            <w:pPr>
              <w:spacing w:before="240"/>
              <w:jc w:val="both"/>
            </w:pPr>
            <w:r w:rsidRPr="00BB0BA9">
              <w:t>2 x 2W</w:t>
            </w:r>
          </w:p>
        </w:tc>
      </w:tr>
      <w:tr w:rsidR="00BB0BA9" w:rsidRPr="00501035" w14:paraId="244CFA3C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02BCF26E" w14:textId="77777777" w:rsidR="00BB0BA9" w:rsidRPr="00507E2F" w:rsidRDefault="00BB0BA9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25AD0EE0" w14:textId="5585DF89" w:rsidR="00BB0BA9" w:rsidRDefault="00BB0BA9" w:rsidP="00936ACA">
            <w:pPr>
              <w:spacing w:before="240"/>
              <w:jc w:val="center"/>
            </w:pPr>
            <w:r>
              <w:t>Regulacja wysokości</w:t>
            </w:r>
          </w:p>
        </w:tc>
        <w:tc>
          <w:tcPr>
            <w:tcW w:w="8064" w:type="dxa"/>
            <w:vAlign w:val="center"/>
          </w:tcPr>
          <w:p w14:paraId="7B206198" w14:textId="02E366E5" w:rsidR="00BB0BA9" w:rsidRPr="00BB0BA9" w:rsidRDefault="00BB0BA9" w:rsidP="00BB0BA9">
            <w:pPr>
              <w:spacing w:before="240"/>
              <w:jc w:val="both"/>
            </w:pPr>
            <w:r>
              <w:t>Tak</w:t>
            </w:r>
          </w:p>
        </w:tc>
      </w:tr>
      <w:tr w:rsidR="00BE26D2" w:rsidRPr="00501035" w14:paraId="32621E70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16976112" w14:textId="77777777" w:rsidR="00BE26D2" w:rsidRPr="00507E2F" w:rsidRDefault="00BE26D2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4873A20A" w14:textId="55867180" w:rsidR="00BE26D2" w:rsidRDefault="00BE26D2" w:rsidP="00936ACA">
            <w:pPr>
              <w:spacing w:before="240"/>
              <w:jc w:val="center"/>
            </w:pPr>
            <w:r>
              <w:t>Klasa energetyczna</w:t>
            </w:r>
          </w:p>
        </w:tc>
        <w:tc>
          <w:tcPr>
            <w:tcW w:w="8064" w:type="dxa"/>
            <w:vAlign w:val="center"/>
          </w:tcPr>
          <w:p w14:paraId="171C43CF" w14:textId="21204B77" w:rsidR="006F55D6" w:rsidRDefault="00B154F8" w:rsidP="00BB0BA9">
            <w:pPr>
              <w:spacing w:before="240"/>
              <w:jc w:val="both"/>
            </w:pPr>
            <w:r>
              <w:t xml:space="preserve">Minimum </w:t>
            </w:r>
            <w:r w:rsidR="006F55D6">
              <w:t>D</w:t>
            </w:r>
          </w:p>
        </w:tc>
      </w:tr>
      <w:tr w:rsidR="006F55D6" w:rsidRPr="00501035" w14:paraId="7281AEAE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6D242286" w14:textId="77777777" w:rsidR="006F55D6" w:rsidRPr="00507E2F" w:rsidRDefault="006F55D6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1E4D5E1A" w14:textId="1CE7E5B6" w:rsidR="006F55D6" w:rsidRDefault="006F55D6" w:rsidP="00936ACA">
            <w:pPr>
              <w:spacing w:before="240"/>
              <w:jc w:val="center"/>
            </w:pPr>
            <w:r>
              <w:t>Kolor obudowy monitora</w:t>
            </w:r>
          </w:p>
        </w:tc>
        <w:tc>
          <w:tcPr>
            <w:tcW w:w="8064" w:type="dxa"/>
            <w:vAlign w:val="center"/>
          </w:tcPr>
          <w:p w14:paraId="191FC2D2" w14:textId="100168DB" w:rsidR="006F55D6" w:rsidRDefault="006F55D6" w:rsidP="00BB0BA9">
            <w:pPr>
              <w:spacing w:before="240"/>
              <w:jc w:val="both"/>
            </w:pPr>
            <w:r>
              <w:t>Czarny</w:t>
            </w:r>
          </w:p>
        </w:tc>
      </w:tr>
      <w:tr w:rsidR="00DD410B" w:rsidRPr="00501035" w14:paraId="10859A20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43030870" w14:textId="77777777" w:rsidR="00DD410B" w:rsidRPr="00507E2F" w:rsidRDefault="00DD410B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6678BB9" w14:textId="32679DF6" w:rsidR="00DD410B" w:rsidRDefault="00DD410B" w:rsidP="00936ACA">
            <w:pPr>
              <w:spacing w:before="240"/>
              <w:jc w:val="center"/>
            </w:pPr>
            <w:r>
              <w:t>Dołączone akcesoria</w:t>
            </w:r>
          </w:p>
        </w:tc>
        <w:tc>
          <w:tcPr>
            <w:tcW w:w="8064" w:type="dxa"/>
            <w:vAlign w:val="center"/>
          </w:tcPr>
          <w:p w14:paraId="16A8D005" w14:textId="77777777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/>
              <w:jc w:val="both"/>
            </w:pPr>
            <w:r>
              <w:t>Kabel HDMI</w:t>
            </w:r>
          </w:p>
          <w:p w14:paraId="4222EFA5" w14:textId="77777777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 w:after="240"/>
              <w:jc w:val="both"/>
            </w:pPr>
            <w:r>
              <w:t>Kabel Display Port</w:t>
            </w:r>
          </w:p>
          <w:p w14:paraId="2D682CA6" w14:textId="2CB17261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 w:after="240"/>
              <w:jc w:val="both"/>
            </w:pPr>
            <w:r>
              <w:t>Kabel zasilający</w:t>
            </w:r>
          </w:p>
        </w:tc>
      </w:tr>
      <w:tr w:rsidR="00936ACA" w:rsidRPr="00501035" w14:paraId="5E8D1B0C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464D3D41" w14:textId="77777777" w:rsidR="00936ACA" w:rsidRPr="00507E2F" w:rsidRDefault="00936ACA" w:rsidP="00936ACA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1C33C94C" w14:textId="4F87F672" w:rsidR="00936ACA" w:rsidRPr="00507E2F" w:rsidRDefault="00936ACA" w:rsidP="00936ACA">
            <w:pPr>
              <w:jc w:val="center"/>
            </w:pPr>
            <w:r w:rsidRPr="00507E2F">
              <w:rPr>
                <w:bCs/>
              </w:rPr>
              <w:t>Certyfikaty i standardy</w:t>
            </w:r>
          </w:p>
        </w:tc>
        <w:tc>
          <w:tcPr>
            <w:tcW w:w="8064" w:type="dxa"/>
            <w:vAlign w:val="center"/>
          </w:tcPr>
          <w:p w14:paraId="30E59D54" w14:textId="59A73AD1" w:rsidR="00936ACA" w:rsidRDefault="00DD410B" w:rsidP="00DD410B">
            <w:pPr>
              <w:pStyle w:val="Akapitzlist"/>
              <w:numPr>
                <w:ilvl w:val="0"/>
                <w:numId w:val="37"/>
              </w:numPr>
              <w:tabs>
                <w:tab w:val="left" w:pos="1418"/>
                <w:tab w:val="left" w:pos="2694"/>
                <w:tab w:val="num" w:pos="3240"/>
              </w:tabs>
              <w:spacing w:before="240"/>
              <w:jc w:val="both"/>
            </w:pPr>
            <w:r>
              <w:t>TCO</w:t>
            </w:r>
            <w:r w:rsidR="00DE248A">
              <w:t xml:space="preserve"> </w:t>
            </w:r>
            <w:r w:rsidR="00DE248A" w:rsidRPr="00DE248A">
              <w:t>zgodność m.in. pod względem: emisji promieniowania, ergonomii, energooszczędności i ekologii.</w:t>
            </w:r>
          </w:p>
          <w:p w14:paraId="09BE248E" w14:textId="38737B99" w:rsidR="00DD410B" w:rsidRPr="00507E2F" w:rsidRDefault="00DD410B" w:rsidP="00FA7EE7">
            <w:pPr>
              <w:pStyle w:val="Akapitzlist"/>
              <w:numPr>
                <w:ilvl w:val="0"/>
                <w:numId w:val="37"/>
              </w:numPr>
              <w:tabs>
                <w:tab w:val="left" w:pos="1418"/>
                <w:tab w:val="left" w:pos="2694"/>
                <w:tab w:val="num" w:pos="3240"/>
              </w:tabs>
              <w:spacing w:after="240"/>
              <w:jc w:val="both"/>
            </w:pPr>
            <w:r>
              <w:t>EPEAT</w:t>
            </w:r>
            <w:r w:rsidR="00DE248A">
              <w:t xml:space="preserve"> - </w:t>
            </w:r>
            <w:r w:rsidR="00DE248A" w:rsidRPr="00DE248A">
              <w:t>spełnia kryteria wydajności środowiskowej, które zmniejszają wpływ produktu na środowisko w całym jego cyklu życia .</w:t>
            </w:r>
          </w:p>
        </w:tc>
      </w:tr>
    </w:tbl>
    <w:p w14:paraId="5E88FACC" w14:textId="77777777" w:rsidR="002451DF" w:rsidRDefault="002451DF" w:rsidP="002451DF">
      <w:pPr>
        <w:pStyle w:val="Nagwek1"/>
        <w:numPr>
          <w:ilvl w:val="0"/>
          <w:numId w:val="0"/>
        </w:numPr>
        <w:tabs>
          <w:tab w:val="left" w:pos="2694"/>
        </w:tabs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Hlk2159612"/>
    </w:p>
    <w:p w14:paraId="70F5C041" w14:textId="536FBD74" w:rsidR="00797293" w:rsidRDefault="00797293" w:rsidP="00A829FC">
      <w:pPr>
        <w:pStyle w:val="Nagwek1"/>
        <w:numPr>
          <w:ilvl w:val="0"/>
          <w:numId w:val="1"/>
        </w:numPr>
        <w:tabs>
          <w:tab w:val="left" w:pos="2694"/>
        </w:tabs>
        <w:spacing w:before="12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6D2B15">
        <w:rPr>
          <w:rFonts w:ascii="Times New Roman" w:hAnsi="Times New Roman" w:cs="Times New Roman"/>
          <w:color w:val="auto"/>
          <w:sz w:val="24"/>
          <w:szCs w:val="24"/>
        </w:rPr>
        <w:t>Wykaz lokalizacji Zamawiającego, w których możliwa będzie instalacja sprzętu:</w:t>
      </w:r>
    </w:p>
    <w:p w14:paraId="0D598328" w14:textId="77777777" w:rsidR="002451DF" w:rsidRPr="002451DF" w:rsidRDefault="002451DF" w:rsidP="002451DF"/>
    <w:p w14:paraId="3102BA54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90-514, Łódź, Al. Tadeusza Kościuszki 47</w:t>
      </w:r>
    </w:p>
    <w:p w14:paraId="4A2D71CE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90-360, Łódź, ul. Piotrkowska 238</w:t>
      </w:r>
    </w:p>
    <w:p w14:paraId="4C73BFD5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90-103, Łódź, ul. Piotrkowska 86</w:t>
      </w:r>
    </w:p>
    <w:p w14:paraId="63229F76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91-087, Łódź, ul. Wapienna 15</w:t>
      </w:r>
    </w:p>
    <w:p w14:paraId="06291799" w14:textId="4625535C" w:rsidR="00797293" w:rsidRDefault="00D5070A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>
        <w:rPr>
          <w:bCs/>
          <w:kern w:val="32"/>
          <w:sz w:val="22"/>
          <w:szCs w:val="22"/>
        </w:rPr>
        <w:t>91-027</w:t>
      </w:r>
      <w:r w:rsidR="00797293" w:rsidRPr="002451DF">
        <w:rPr>
          <w:bCs/>
          <w:kern w:val="32"/>
          <w:sz w:val="22"/>
          <w:szCs w:val="22"/>
        </w:rPr>
        <w:t xml:space="preserve">, Łódź, ul. </w:t>
      </w:r>
      <w:r>
        <w:rPr>
          <w:bCs/>
          <w:kern w:val="32"/>
          <w:sz w:val="22"/>
          <w:szCs w:val="22"/>
        </w:rPr>
        <w:t>Limanowskiego 194/196</w:t>
      </w:r>
    </w:p>
    <w:p w14:paraId="4016A136" w14:textId="03CE7201" w:rsidR="00A829FC" w:rsidRDefault="00D5070A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>
        <w:rPr>
          <w:bCs/>
          <w:kern w:val="32"/>
          <w:sz w:val="22"/>
          <w:szCs w:val="22"/>
        </w:rPr>
        <w:t>90-001, Łódź, ul. Sobolowa 1</w:t>
      </w:r>
      <w:bookmarkEnd w:id="2"/>
    </w:p>
    <w:p w14:paraId="21F83887" w14:textId="77777777" w:rsidR="00A54CA0" w:rsidRPr="00A54CA0" w:rsidRDefault="00A54CA0" w:rsidP="00A54CA0">
      <w:pPr>
        <w:jc w:val="both"/>
        <w:rPr>
          <w:bCs/>
          <w:kern w:val="32"/>
        </w:rPr>
      </w:pPr>
    </w:p>
    <w:p w14:paraId="6477F49A" w14:textId="1018461D" w:rsidR="00CA7293" w:rsidRDefault="00CA7293" w:rsidP="00A829FC">
      <w:pPr>
        <w:pStyle w:val="Nagwek1"/>
        <w:numPr>
          <w:ilvl w:val="0"/>
          <w:numId w:val="1"/>
        </w:numPr>
        <w:spacing w:before="0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AB1045">
        <w:rPr>
          <w:rFonts w:ascii="Times New Roman" w:hAnsi="Times New Roman" w:cs="Times New Roman"/>
          <w:color w:val="auto"/>
          <w:sz w:val="24"/>
          <w:szCs w:val="24"/>
        </w:rPr>
        <w:t>WARUNKI GWARANCJI I SERWISU</w:t>
      </w:r>
    </w:p>
    <w:p w14:paraId="132B6A94" w14:textId="77777777" w:rsidR="00CA7293" w:rsidRPr="00CA7293" w:rsidRDefault="00CA7293" w:rsidP="00CA7293">
      <w:pPr>
        <w:pStyle w:val="Akapitzlist"/>
        <w:ind w:left="360"/>
      </w:pPr>
    </w:p>
    <w:p w14:paraId="68EFA32A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 xml:space="preserve">Wykonawca udzieli gwarancji na prawidłowe działanie dostarczonego sprzętu na okres nie krótszy niż 36 miesięcy, jednak nie dłuższy niż 60 miesięcy </w:t>
      </w:r>
      <w:r w:rsidRPr="00AD2F45">
        <w:rPr>
          <w:i/>
        </w:rPr>
        <w:t>(termin uzależniony od złożonej oferty)</w:t>
      </w:r>
      <w:r w:rsidRPr="00AB1045">
        <w:t>.</w:t>
      </w:r>
    </w:p>
    <w:p w14:paraId="26F56068" w14:textId="3C420278" w:rsidR="00CA7293" w:rsidRDefault="00CA7293" w:rsidP="007662C9">
      <w:pPr>
        <w:pStyle w:val="Akapitzlist"/>
        <w:numPr>
          <w:ilvl w:val="0"/>
          <w:numId w:val="22"/>
        </w:numPr>
        <w:jc w:val="both"/>
      </w:pPr>
      <w:r w:rsidRPr="00AB1045">
        <w:t xml:space="preserve">Dla </w:t>
      </w:r>
      <w:r w:rsidR="0068077E">
        <w:t>monitora</w:t>
      </w:r>
      <w:r w:rsidRPr="00AB1045">
        <w:t xml:space="preserve"> opisanego w</w:t>
      </w:r>
      <w:r>
        <w:t xml:space="preserve"> rozdziale</w:t>
      </w:r>
      <w:r w:rsidRPr="00AB1045">
        <w:t xml:space="preserve"> I</w:t>
      </w:r>
      <w:r>
        <w:t xml:space="preserve"> „</w:t>
      </w:r>
      <w:r w:rsidRPr="00CA7293">
        <w:t xml:space="preserve">Wymagania dla </w:t>
      </w:r>
      <w:r w:rsidR="0068077E">
        <w:t>monitora 27</w:t>
      </w:r>
      <w:r w:rsidR="007C748E" w:rsidRPr="007C748E">
        <w:rPr>
          <w:sz w:val="28"/>
          <w:szCs w:val="28"/>
        </w:rPr>
        <w:t>"</w:t>
      </w:r>
      <w:r>
        <w:t>”</w:t>
      </w:r>
      <w:r w:rsidR="007662C9">
        <w:t>:</w:t>
      </w:r>
      <w:r>
        <w:t xml:space="preserve"> </w:t>
      </w:r>
    </w:p>
    <w:p w14:paraId="1BACB429" w14:textId="77777777" w:rsidR="007662C9" w:rsidRPr="007662C9" w:rsidRDefault="007662C9" w:rsidP="007662C9">
      <w:pPr>
        <w:pStyle w:val="Akapitzlist"/>
        <w:numPr>
          <w:ilvl w:val="1"/>
          <w:numId w:val="22"/>
        </w:numPr>
      </w:pPr>
      <w:r w:rsidRPr="007662C9">
        <w:t>Czas reakcji serwisu - do końca następnego dnia roboczego</w:t>
      </w:r>
    </w:p>
    <w:p w14:paraId="65612705" w14:textId="748FF297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Firma serwisująca musi posiadać ISO 9001: 2015 na świadczenie usług serwisowych oraz posiadać autoryzacje producenta </w:t>
      </w:r>
      <w:r w:rsidR="0001293B">
        <w:t>monitora</w:t>
      </w:r>
      <w:r>
        <w:t xml:space="preserve">– </w:t>
      </w:r>
      <w:r w:rsidR="000D63A3">
        <w:t>dokumenty potwierdzające załączyć do oferty</w:t>
      </w:r>
      <w:r>
        <w:t>.</w:t>
      </w:r>
    </w:p>
    <w:p w14:paraId="517D51B4" w14:textId="77777777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Dedykowany portal techniczny producenta, umożliwiający Zamawiającemu zgłaszanie awarii oraz samodzielne zamawianie zamiennych komponentów. </w:t>
      </w:r>
    </w:p>
    <w:p w14:paraId="51545B82" w14:textId="1A2C8C90" w:rsidR="007662C9" w:rsidRPr="00AB1045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Możliwość sprawdzenia kompletnych danych o urządzeniu na jednej witrynie internetowej prowadzonej przez producenta (automatyczna identyfikacja </w:t>
      </w:r>
      <w:r w:rsidR="0068077E">
        <w:t>monitora</w:t>
      </w:r>
      <w:r>
        <w:t>, konfiguracja fabryczna, Rodzaj gwarancji, data wygaśnięcia gwarancji, data produkcji</w:t>
      </w:r>
      <w:r w:rsidR="001414A4">
        <w:t xml:space="preserve"> monitora</w:t>
      </w:r>
      <w:r>
        <w:t>)</w:t>
      </w:r>
    </w:p>
    <w:p w14:paraId="2E802A62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>Usługi gwarancyjne będą dokonywane przez Wykonawcę w miejscu zainstalowania sprzętu</w:t>
      </w:r>
      <w:r w:rsidRPr="00AB1045">
        <w:tab/>
        <w:t xml:space="preserve"> Zamawiającego, a w przypadku konieczności naprawy uszkodzonego sprzętu poza miejscem jego zainstalowania, wszelkie czynności z tym związane będą wykonywane przez Wykonawcę. </w:t>
      </w:r>
    </w:p>
    <w:p w14:paraId="5684CC28" w14:textId="08271A0A" w:rsidR="00A71F33" w:rsidRPr="007E330E" w:rsidRDefault="00CA7293" w:rsidP="007E330E">
      <w:pPr>
        <w:pStyle w:val="Akapitzlist"/>
        <w:numPr>
          <w:ilvl w:val="0"/>
          <w:numId w:val="22"/>
        </w:numPr>
      </w:pPr>
      <w:r w:rsidRPr="00AB1045">
        <w:t xml:space="preserve">W przypadku awarii urządzeń Wykonawca zobowiązuje się do niezwłocznego usunięcia usterki (naprawy lub wymiany wadliwego bądź zużytego podzespołu lub urządzenia), nie dłużej jednak niż </w:t>
      </w:r>
      <w:r w:rsidRPr="00AB1045">
        <w:lastRenderedPageBreak/>
        <w:t>w ciągu 24 godzin, licząc od chwili zgłoszenia awarii. W przypadku niemożności naprawy uszkodzonego sprzętu w miejscu jego zainstalowania w ciągu 24 godzin, Wykonawca zobowiązuje się podstawić Zamawiającemu na czas naprawy sprzęt tego samego typu. Sprzęt zastępczy zostanie podstawiony i skonfigurowany przez Wykonawcę w miejsce uszkodzonego, nie później niż w ciągu 24 godzin od chwili zgłoszenia awarii. W przypadku konieczności naprawy uszkodzonego sprzętu poza miejscem jego zainstalowania u Zamawiającego, czas trwania naprawy nie może być dłuższy niż 21 dni.</w:t>
      </w:r>
    </w:p>
    <w:sectPr w:rsidR="00A71F33" w:rsidRPr="007E330E" w:rsidSect="005010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B99DF" w14:textId="77777777" w:rsidR="00213BEB" w:rsidRDefault="00213BEB" w:rsidP="00507E2F">
      <w:pPr>
        <w:spacing w:after="0" w:line="240" w:lineRule="auto"/>
      </w:pPr>
      <w:r>
        <w:separator/>
      </w:r>
    </w:p>
  </w:endnote>
  <w:endnote w:type="continuationSeparator" w:id="0">
    <w:p w14:paraId="555B9424" w14:textId="77777777" w:rsidR="00213BEB" w:rsidRDefault="00213BEB" w:rsidP="0050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8477C" w14:textId="77777777" w:rsidR="00213BEB" w:rsidRDefault="00213BEB" w:rsidP="00507E2F">
      <w:pPr>
        <w:spacing w:after="0" w:line="240" w:lineRule="auto"/>
      </w:pPr>
      <w:r>
        <w:separator/>
      </w:r>
    </w:p>
  </w:footnote>
  <w:footnote w:type="continuationSeparator" w:id="0">
    <w:p w14:paraId="4DFD1635" w14:textId="77777777" w:rsidR="00213BEB" w:rsidRDefault="00213BEB" w:rsidP="0050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4051"/>
    <w:multiLevelType w:val="hybridMultilevel"/>
    <w:tmpl w:val="5C0CCD06"/>
    <w:lvl w:ilvl="0" w:tplc="FED25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AF0F01"/>
    <w:multiLevelType w:val="multilevel"/>
    <w:tmpl w:val="09A2CEDA"/>
    <w:lvl w:ilvl="0">
      <w:start w:val="4"/>
      <w:numFmt w:val="upperRoman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2" w15:restartNumberingAfterBreak="0">
    <w:nsid w:val="110A5234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3" w15:restartNumberingAfterBreak="0">
    <w:nsid w:val="130D1A1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3F71043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C2CD7"/>
    <w:multiLevelType w:val="hybridMultilevel"/>
    <w:tmpl w:val="E3722F64"/>
    <w:lvl w:ilvl="0" w:tplc="3466B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71372"/>
    <w:multiLevelType w:val="hybridMultilevel"/>
    <w:tmpl w:val="7DF22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B114B"/>
    <w:multiLevelType w:val="hybridMultilevel"/>
    <w:tmpl w:val="1A2C72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47984"/>
    <w:multiLevelType w:val="hybridMultilevel"/>
    <w:tmpl w:val="06E4D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E2C28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1C1C0E"/>
    <w:multiLevelType w:val="hybridMultilevel"/>
    <w:tmpl w:val="D34A5C98"/>
    <w:lvl w:ilvl="0" w:tplc="0FDCA606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1" w15:restartNumberingAfterBreak="0">
    <w:nsid w:val="323F5D47"/>
    <w:multiLevelType w:val="hybridMultilevel"/>
    <w:tmpl w:val="5C465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4778A"/>
    <w:multiLevelType w:val="hybridMultilevel"/>
    <w:tmpl w:val="77C2EB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30E5E8C"/>
    <w:multiLevelType w:val="hybridMultilevel"/>
    <w:tmpl w:val="DCFE84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E40397"/>
    <w:multiLevelType w:val="hybridMultilevel"/>
    <w:tmpl w:val="C76C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80D00"/>
    <w:multiLevelType w:val="multilevel"/>
    <w:tmpl w:val="77F8C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8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6415D6E"/>
    <w:multiLevelType w:val="hybridMultilevel"/>
    <w:tmpl w:val="3D4E2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0081E"/>
    <w:multiLevelType w:val="hybridMultilevel"/>
    <w:tmpl w:val="2DC08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5E564A"/>
    <w:multiLevelType w:val="hybridMultilevel"/>
    <w:tmpl w:val="3376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D37EE"/>
    <w:multiLevelType w:val="hybridMultilevel"/>
    <w:tmpl w:val="9D58AE1E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172652"/>
    <w:multiLevelType w:val="hybridMultilevel"/>
    <w:tmpl w:val="BF441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B1C86"/>
    <w:multiLevelType w:val="hybridMultilevel"/>
    <w:tmpl w:val="EB2EC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50C"/>
    <w:multiLevelType w:val="multilevel"/>
    <w:tmpl w:val="F9FCE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3FA74C2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24" w15:restartNumberingAfterBreak="0">
    <w:nsid w:val="55421D36"/>
    <w:multiLevelType w:val="hybridMultilevel"/>
    <w:tmpl w:val="C24A1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5735F"/>
    <w:multiLevelType w:val="hybridMultilevel"/>
    <w:tmpl w:val="677A51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E09E5"/>
    <w:multiLevelType w:val="hybridMultilevel"/>
    <w:tmpl w:val="99FCFD28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42EA7"/>
    <w:multiLevelType w:val="hybridMultilevel"/>
    <w:tmpl w:val="EDD46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13429C"/>
    <w:multiLevelType w:val="hybridMultilevel"/>
    <w:tmpl w:val="4234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A42C9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1E4AB1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532189"/>
    <w:multiLevelType w:val="hybridMultilevel"/>
    <w:tmpl w:val="70784F4A"/>
    <w:lvl w:ilvl="0" w:tplc="59A0E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5D7A60"/>
    <w:multiLevelType w:val="hybridMultilevel"/>
    <w:tmpl w:val="EC8082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F085F"/>
    <w:multiLevelType w:val="hybridMultilevel"/>
    <w:tmpl w:val="90EC138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DA1CC5"/>
    <w:multiLevelType w:val="hybridMultilevel"/>
    <w:tmpl w:val="C95A19D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192047">
    <w:abstractNumId w:val="23"/>
  </w:num>
  <w:num w:numId="2" w16cid:durableId="1108816897">
    <w:abstractNumId w:val="5"/>
  </w:num>
  <w:num w:numId="3" w16cid:durableId="134687101">
    <w:abstractNumId w:val="33"/>
  </w:num>
  <w:num w:numId="4" w16cid:durableId="1027219676">
    <w:abstractNumId w:val="34"/>
  </w:num>
  <w:num w:numId="5" w16cid:durableId="1473132626">
    <w:abstractNumId w:val="4"/>
  </w:num>
  <w:num w:numId="6" w16cid:durableId="1506822162">
    <w:abstractNumId w:val="30"/>
  </w:num>
  <w:num w:numId="7" w16cid:durableId="801966158">
    <w:abstractNumId w:val="3"/>
  </w:num>
  <w:num w:numId="8" w16cid:durableId="48504284">
    <w:abstractNumId w:val="0"/>
  </w:num>
  <w:num w:numId="9" w16cid:durableId="1091317075">
    <w:abstractNumId w:val="19"/>
  </w:num>
  <w:num w:numId="10" w16cid:durableId="1327896863">
    <w:abstractNumId w:val="16"/>
  </w:num>
  <w:num w:numId="11" w16cid:durableId="231623864">
    <w:abstractNumId w:val="14"/>
  </w:num>
  <w:num w:numId="12" w16cid:durableId="176971725">
    <w:abstractNumId w:val="28"/>
  </w:num>
  <w:num w:numId="13" w16cid:durableId="1430856346">
    <w:abstractNumId w:val="9"/>
  </w:num>
  <w:num w:numId="14" w16cid:durableId="1026440502">
    <w:abstractNumId w:val="15"/>
  </w:num>
  <w:num w:numId="15" w16cid:durableId="1000043895">
    <w:abstractNumId w:val="3"/>
  </w:num>
  <w:num w:numId="16" w16cid:durableId="2002804309">
    <w:abstractNumId w:val="13"/>
  </w:num>
  <w:num w:numId="17" w16cid:durableId="246963484">
    <w:abstractNumId w:val="31"/>
  </w:num>
  <w:num w:numId="18" w16cid:durableId="122701848">
    <w:abstractNumId w:val="26"/>
  </w:num>
  <w:num w:numId="19" w16cid:durableId="369453875">
    <w:abstractNumId w:val="21"/>
  </w:num>
  <w:num w:numId="20" w16cid:durableId="673265686">
    <w:abstractNumId w:val="3"/>
  </w:num>
  <w:num w:numId="21" w16cid:durableId="1513377933">
    <w:abstractNumId w:val="3"/>
  </w:num>
  <w:num w:numId="22" w16cid:durableId="137383938">
    <w:abstractNumId w:val="22"/>
  </w:num>
  <w:num w:numId="23" w16cid:durableId="1820073665">
    <w:abstractNumId w:val="1"/>
  </w:num>
  <w:num w:numId="24" w16cid:durableId="1207327151">
    <w:abstractNumId w:val="2"/>
  </w:num>
  <w:num w:numId="25" w16cid:durableId="1276254042">
    <w:abstractNumId w:val="29"/>
  </w:num>
  <w:num w:numId="26" w16cid:durableId="223681820">
    <w:abstractNumId w:val="12"/>
  </w:num>
  <w:num w:numId="27" w16cid:durableId="1215240882">
    <w:abstractNumId w:val="25"/>
  </w:num>
  <w:num w:numId="28" w16cid:durableId="174879765">
    <w:abstractNumId w:val="10"/>
  </w:num>
  <w:num w:numId="29" w16cid:durableId="1584994392">
    <w:abstractNumId w:val="7"/>
  </w:num>
  <w:num w:numId="30" w16cid:durableId="1299651340">
    <w:abstractNumId w:val="24"/>
  </w:num>
  <w:num w:numId="31" w16cid:durableId="41489151">
    <w:abstractNumId w:val="27"/>
  </w:num>
  <w:num w:numId="32" w16cid:durableId="375394208">
    <w:abstractNumId w:val="11"/>
  </w:num>
  <w:num w:numId="33" w16cid:durableId="1762724193">
    <w:abstractNumId w:val="32"/>
  </w:num>
  <w:num w:numId="34" w16cid:durableId="1601638921">
    <w:abstractNumId w:val="8"/>
  </w:num>
  <w:num w:numId="35" w16cid:durableId="763183373">
    <w:abstractNumId w:val="18"/>
  </w:num>
  <w:num w:numId="36" w16cid:durableId="1715695294">
    <w:abstractNumId w:val="20"/>
  </w:num>
  <w:num w:numId="37" w16cid:durableId="583956035">
    <w:abstractNumId w:val="17"/>
  </w:num>
  <w:num w:numId="38" w16cid:durableId="1394306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63"/>
    <w:rsid w:val="00003879"/>
    <w:rsid w:val="0001293B"/>
    <w:rsid w:val="0004430B"/>
    <w:rsid w:val="000450A0"/>
    <w:rsid w:val="00050088"/>
    <w:rsid w:val="000945ED"/>
    <w:rsid w:val="000A7D58"/>
    <w:rsid w:val="000D63A3"/>
    <w:rsid w:val="000F14CF"/>
    <w:rsid w:val="001061DA"/>
    <w:rsid w:val="001107A8"/>
    <w:rsid w:val="00116CC1"/>
    <w:rsid w:val="001224BD"/>
    <w:rsid w:val="00125E13"/>
    <w:rsid w:val="0013567D"/>
    <w:rsid w:val="001414A4"/>
    <w:rsid w:val="0014201A"/>
    <w:rsid w:val="00167927"/>
    <w:rsid w:val="001B0FAE"/>
    <w:rsid w:val="001C175D"/>
    <w:rsid w:val="001C210F"/>
    <w:rsid w:val="001E0DFF"/>
    <w:rsid w:val="00201380"/>
    <w:rsid w:val="00211E08"/>
    <w:rsid w:val="00213BEB"/>
    <w:rsid w:val="00240D44"/>
    <w:rsid w:val="002451DF"/>
    <w:rsid w:val="00254B7B"/>
    <w:rsid w:val="002966B0"/>
    <w:rsid w:val="002E5EB3"/>
    <w:rsid w:val="002F047D"/>
    <w:rsid w:val="0037074E"/>
    <w:rsid w:val="00397D5F"/>
    <w:rsid w:val="003B2DB7"/>
    <w:rsid w:val="003E2EB4"/>
    <w:rsid w:val="004736F0"/>
    <w:rsid w:val="0049386A"/>
    <w:rsid w:val="00496C16"/>
    <w:rsid w:val="004A726D"/>
    <w:rsid w:val="004B2318"/>
    <w:rsid w:val="004E3EA8"/>
    <w:rsid w:val="004F4A1B"/>
    <w:rsid w:val="00501035"/>
    <w:rsid w:val="00507E2F"/>
    <w:rsid w:val="0053526F"/>
    <w:rsid w:val="0056512A"/>
    <w:rsid w:val="005D1FF2"/>
    <w:rsid w:val="005D55A6"/>
    <w:rsid w:val="005F4A94"/>
    <w:rsid w:val="0068077E"/>
    <w:rsid w:val="00685460"/>
    <w:rsid w:val="006A4A35"/>
    <w:rsid w:val="006C0771"/>
    <w:rsid w:val="006F55D6"/>
    <w:rsid w:val="00716122"/>
    <w:rsid w:val="00735850"/>
    <w:rsid w:val="007662C9"/>
    <w:rsid w:val="007804D9"/>
    <w:rsid w:val="00797293"/>
    <w:rsid w:val="007A3C65"/>
    <w:rsid w:val="007C748E"/>
    <w:rsid w:val="007D00BA"/>
    <w:rsid w:val="007E330E"/>
    <w:rsid w:val="007F286E"/>
    <w:rsid w:val="007F47A2"/>
    <w:rsid w:val="007F4F73"/>
    <w:rsid w:val="00800E55"/>
    <w:rsid w:val="00817802"/>
    <w:rsid w:val="0085784E"/>
    <w:rsid w:val="00881F64"/>
    <w:rsid w:val="008A2C5A"/>
    <w:rsid w:val="008C1C94"/>
    <w:rsid w:val="008D7B73"/>
    <w:rsid w:val="008E57DE"/>
    <w:rsid w:val="008F1353"/>
    <w:rsid w:val="009324A0"/>
    <w:rsid w:val="00936ACA"/>
    <w:rsid w:val="0094338E"/>
    <w:rsid w:val="00975E92"/>
    <w:rsid w:val="00981196"/>
    <w:rsid w:val="00995C46"/>
    <w:rsid w:val="009C1FE5"/>
    <w:rsid w:val="009D263B"/>
    <w:rsid w:val="009D2766"/>
    <w:rsid w:val="009F7563"/>
    <w:rsid w:val="00A22893"/>
    <w:rsid w:val="00A54CA0"/>
    <w:rsid w:val="00A71F33"/>
    <w:rsid w:val="00A829FC"/>
    <w:rsid w:val="00A82A9A"/>
    <w:rsid w:val="00AA469C"/>
    <w:rsid w:val="00AD69C4"/>
    <w:rsid w:val="00B03DFD"/>
    <w:rsid w:val="00B154F8"/>
    <w:rsid w:val="00B179AB"/>
    <w:rsid w:val="00B5533E"/>
    <w:rsid w:val="00B82A8A"/>
    <w:rsid w:val="00BB0BA9"/>
    <w:rsid w:val="00BD4544"/>
    <w:rsid w:val="00BE26D2"/>
    <w:rsid w:val="00BE2DF4"/>
    <w:rsid w:val="00BF1C40"/>
    <w:rsid w:val="00BF33AD"/>
    <w:rsid w:val="00C012A1"/>
    <w:rsid w:val="00C02FAB"/>
    <w:rsid w:val="00C82310"/>
    <w:rsid w:val="00C85140"/>
    <w:rsid w:val="00CA7293"/>
    <w:rsid w:val="00D15B0F"/>
    <w:rsid w:val="00D163AA"/>
    <w:rsid w:val="00D4020F"/>
    <w:rsid w:val="00D5070A"/>
    <w:rsid w:val="00D739D7"/>
    <w:rsid w:val="00D74CEF"/>
    <w:rsid w:val="00DA10F7"/>
    <w:rsid w:val="00DA5081"/>
    <w:rsid w:val="00DD410B"/>
    <w:rsid w:val="00DE248A"/>
    <w:rsid w:val="00E00F51"/>
    <w:rsid w:val="00E03310"/>
    <w:rsid w:val="00E601F5"/>
    <w:rsid w:val="00E64BAE"/>
    <w:rsid w:val="00EA0AA7"/>
    <w:rsid w:val="00EE2E46"/>
    <w:rsid w:val="00EE4681"/>
    <w:rsid w:val="00EF7A6D"/>
    <w:rsid w:val="00F07F67"/>
    <w:rsid w:val="00F659EC"/>
    <w:rsid w:val="00F834BF"/>
    <w:rsid w:val="00F862D7"/>
    <w:rsid w:val="00F87813"/>
    <w:rsid w:val="00F91579"/>
    <w:rsid w:val="00FA60BE"/>
    <w:rsid w:val="00FA7EE7"/>
    <w:rsid w:val="00FB41B8"/>
    <w:rsid w:val="00FE27D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7F5F"/>
  <w15:chartTrackingRefBased/>
  <w15:docId w15:val="{BAA62F15-A0D9-482B-9559-FA2FD453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63"/>
    <w:pPr>
      <w:spacing w:after="200" w:line="276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7563"/>
    <w:pPr>
      <w:keepNext/>
      <w:keepLines/>
      <w:numPr>
        <w:numId w:val="7"/>
      </w:numPr>
      <w:spacing w:before="360" w:after="0" w:line="240" w:lineRule="auto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7563"/>
    <w:pPr>
      <w:keepNext/>
      <w:keepLines/>
      <w:numPr>
        <w:ilvl w:val="1"/>
        <w:numId w:val="7"/>
      </w:numPr>
      <w:spacing w:before="120" w:after="0" w:line="240" w:lineRule="auto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F7563"/>
    <w:pPr>
      <w:keepNext/>
      <w:keepLines/>
      <w:numPr>
        <w:ilvl w:val="2"/>
        <w:numId w:val="7"/>
      </w:numPr>
      <w:spacing w:before="20" w:after="0" w:line="240" w:lineRule="auto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F7563"/>
    <w:pPr>
      <w:keepNext/>
      <w:keepLines/>
      <w:numPr>
        <w:ilvl w:val="3"/>
        <w:numId w:val="7"/>
      </w:numPr>
      <w:spacing w:before="200" w:after="0" w:line="264" w:lineRule="auto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F7563"/>
    <w:pPr>
      <w:keepNext/>
      <w:keepLines/>
      <w:numPr>
        <w:ilvl w:val="4"/>
        <w:numId w:val="7"/>
      </w:numPr>
      <w:spacing w:before="200" w:after="0" w:line="264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F7563"/>
    <w:pPr>
      <w:keepNext/>
      <w:keepLines/>
      <w:numPr>
        <w:ilvl w:val="5"/>
        <w:numId w:val="7"/>
      </w:numPr>
      <w:spacing w:before="200" w:after="0" w:line="264" w:lineRule="auto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F7563"/>
    <w:pPr>
      <w:numPr>
        <w:ilvl w:val="6"/>
        <w:numId w:val="7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F7563"/>
    <w:pPr>
      <w:numPr>
        <w:ilvl w:val="7"/>
        <w:numId w:val="7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F7563"/>
    <w:pPr>
      <w:numPr>
        <w:ilvl w:val="8"/>
        <w:numId w:val="7"/>
      </w:numPr>
      <w:spacing w:before="240" w:after="60"/>
      <w:outlineLvl w:val="8"/>
    </w:pPr>
    <w:rPr>
      <w:rFonts w:ascii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7563"/>
    <w:rPr>
      <w:rFonts w:ascii="Cambria" w:eastAsia="Times New Roman" w:hAnsi="Cambria" w:cs="Cambria"/>
      <w:b/>
      <w:bCs/>
      <w:color w:val="000000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F7563"/>
    <w:rPr>
      <w:rFonts w:ascii="Cambria" w:eastAsia="Times New Roman" w:hAnsi="Cambria" w:cs="Cambria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F7563"/>
    <w:rPr>
      <w:rFonts w:ascii="Cambria" w:eastAsia="Times New Roman" w:hAnsi="Cambria" w:cs="Cambria"/>
      <w:b/>
      <w:bCs/>
      <w:color w:val="000000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F7563"/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F7563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F7563"/>
    <w:rPr>
      <w:rFonts w:ascii="Calibri" w:eastAsia="Times New Roman" w:hAnsi="Calibri" w:cs="Calibri"/>
      <w:b/>
      <w:bCs/>
      <w:color w:val="00000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F7563"/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9F7563"/>
    <w:rPr>
      <w:rFonts w:ascii="Calibri" w:eastAsia="Times New Roman" w:hAnsi="Calibri" w:cs="Calibri"/>
      <w:i/>
      <w:iCs/>
      <w:color w:val="000000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F7563"/>
    <w:rPr>
      <w:rFonts w:ascii="Calibri Light" w:eastAsia="Times New Roman" w:hAnsi="Calibri Light" w:cs="Calibri Light"/>
      <w:color w:val="000000"/>
      <w:lang w:eastAsia="pl-PL"/>
    </w:rPr>
  </w:style>
  <w:style w:type="paragraph" w:customStyle="1" w:styleId="Akapitzlist1">
    <w:name w:val="Akapit z listą1"/>
    <w:basedOn w:val="Normalny"/>
    <w:uiPriority w:val="99"/>
    <w:rsid w:val="009F7563"/>
    <w:pPr>
      <w:ind w:left="720"/>
      <w:contextualSpacing/>
    </w:pPr>
  </w:style>
  <w:style w:type="character" w:styleId="Hipercze">
    <w:name w:val="Hyperlink"/>
    <w:rsid w:val="003E2EB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879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F5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01035"/>
    <w:pPr>
      <w:spacing w:after="0" w:line="240" w:lineRule="auto"/>
      <w:ind w:left="720"/>
      <w:contextualSpacing/>
    </w:pPr>
    <w:rPr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0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16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52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A7B7-AF3C-408F-94CA-B876D307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3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Brzozowski</dc:creator>
  <cp:keywords/>
  <dc:description/>
  <cp:lastModifiedBy>Izabela Strzelczyk</cp:lastModifiedBy>
  <cp:revision>26</cp:revision>
  <cp:lastPrinted>2019-09-26T08:03:00Z</cp:lastPrinted>
  <dcterms:created xsi:type="dcterms:W3CDTF">2024-08-21T11:06:00Z</dcterms:created>
  <dcterms:modified xsi:type="dcterms:W3CDTF">2024-09-13T10:03:00Z</dcterms:modified>
</cp:coreProperties>
</file>