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3CC728E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B80C47">
        <w:rPr>
          <w:rFonts w:ascii="Open Sans" w:hAnsi="Open Sans" w:cs="Open Sans"/>
          <w:sz w:val="16"/>
          <w:szCs w:val="16"/>
        </w:rPr>
        <w:t>27.06.2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4E7BCF36" w14:textId="77777777" w:rsidR="006E06CE" w:rsidRPr="006E06CE" w:rsidRDefault="006E06CE" w:rsidP="006E06CE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  <w:r w:rsidRPr="006E06CE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 xml:space="preserve">Nr postępowania:  2023\S 065-192544 </w:t>
      </w:r>
    </w:p>
    <w:p w14:paraId="7EC91804" w14:textId="77777777" w:rsidR="006E06CE" w:rsidRPr="006E06CE" w:rsidRDefault="006E06CE" w:rsidP="006E06CE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  <w:r w:rsidRPr="006E06CE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 xml:space="preserve">Nr referencyjny: 06/AP/2023 </w:t>
      </w:r>
    </w:p>
    <w:p w14:paraId="4C2340A6" w14:textId="183E4053" w:rsidR="00D54FFF" w:rsidRPr="00D54FFF" w:rsidRDefault="006E06CE" w:rsidP="00D54FF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</w:pPr>
      <w:r w:rsidRPr="006E06CE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>Identyfikator postępowania: ocds-148610-e23ecb66-d1e7-11ed-9355-06954b8c6cb9</w:t>
      </w:r>
      <w:r w:rsidR="00D54FFF" w:rsidRPr="00D54FFF">
        <w:rPr>
          <w:rFonts w:ascii="Book Antiqua" w:eastAsia="Times New Roman" w:hAnsi="Book Antiqua" w:cs="Open Sans"/>
          <w:bCs/>
          <w:color w:val="984806" w:themeColor="accent6" w:themeShade="80"/>
          <w:sz w:val="16"/>
          <w:szCs w:val="16"/>
        </w:rPr>
        <w:t xml:space="preserve"> 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5F99435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553D3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7C9DBAA" w14:textId="122F71AC" w:rsidR="00A966FB" w:rsidRPr="00A966FB" w:rsidRDefault="006C3307" w:rsidP="00A966FB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A966F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</w:t>
      </w:r>
      <w:r w:rsidR="00ED63BE" w:rsidRPr="00ED63BE">
        <w:rPr>
          <w:rFonts w:ascii="Open Sans" w:hAnsi="Open Sans" w:cs="Open Sans"/>
          <w:bCs/>
          <w:color w:val="000000"/>
          <w:sz w:val="20"/>
          <w:szCs w:val="20"/>
        </w:rPr>
        <w:t>„Dostaw</w:t>
      </w:r>
      <w:r w:rsidR="006E06CE">
        <w:rPr>
          <w:rFonts w:ascii="Open Sans" w:hAnsi="Open Sans" w:cs="Open Sans"/>
          <w:bCs/>
          <w:color w:val="000000"/>
          <w:sz w:val="20"/>
          <w:szCs w:val="20"/>
        </w:rPr>
        <w:t>ę</w:t>
      </w:r>
      <w:r w:rsidR="00ED63BE" w:rsidRPr="00ED63BE">
        <w:rPr>
          <w:rFonts w:ascii="Open Sans" w:hAnsi="Open Sans" w:cs="Open Sans"/>
          <w:bCs/>
          <w:color w:val="000000"/>
          <w:sz w:val="20"/>
          <w:szCs w:val="20"/>
        </w:rPr>
        <w:t xml:space="preserve"> nowego pojazdu do odbioru odpadów zbieranych selektywnie, na podwoziu trzyosiowym, o pojemności skrzyni ładunkowej minimum 21 m</w:t>
      </w:r>
      <w:r w:rsidR="00ED63BE" w:rsidRPr="00ED63BE">
        <w:rPr>
          <w:rFonts w:ascii="Open Sans" w:hAnsi="Open Sans" w:cs="Open Sans"/>
          <w:bCs/>
          <w:color w:val="000000"/>
          <w:sz w:val="20"/>
          <w:szCs w:val="20"/>
          <w:vertAlign w:val="superscript"/>
        </w:rPr>
        <w:t>3</w:t>
      </w:r>
      <w:r w:rsidR="00ED63BE" w:rsidRPr="00ED63BE">
        <w:rPr>
          <w:rFonts w:ascii="Open Sans" w:hAnsi="Open Sans" w:cs="Open Sans"/>
          <w:bCs/>
          <w:color w:val="000000"/>
          <w:sz w:val="20"/>
          <w:szCs w:val="20"/>
        </w:rPr>
        <w:t xml:space="preserve">  z  systemem wagowym”.  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3AC1B356" w14:textId="509EFDBB" w:rsidR="008B3D94" w:rsidRPr="00A6394A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2022 r. poz. 1710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Grzegorz Kądziela-wspólnik spółki cywilnej </w:t>
      </w:r>
      <w:r w:rsid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GP Truck Trading S.C. Grzegorz Kądziela</w:t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Agnieszka Kądziela, ul. Hoserów 13, 02-995 Warszawa</w:t>
      </w:r>
      <w:r w:rsidR="006E06CE" w:rsidRPr="006E06C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  <w:r w:rsidR="00A6394A" w:rsidRPr="00A639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2A655568" w14:textId="3446D0E4" w:rsidR="00DB5C2A" w:rsidRPr="00C440C0" w:rsidRDefault="009E16BE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ów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o</w:t>
      </w:r>
      <w:r w:rsidR="006E06CE" w:rsidRPr="006E06CE">
        <w:rPr>
          <w:rFonts w:ascii="Open Sans" w:eastAsia="Times New Roman" w:hAnsi="Open Sans" w:cs="Open Sans"/>
          <w:color w:val="000000"/>
          <w:sz w:val="20"/>
          <w:szCs w:val="20"/>
        </w:rPr>
        <w:t>kres gwarancji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422D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na </w:t>
      </w:r>
      <w:r w:rsidR="006E06CE" w:rsidRP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422D1">
        <w:rPr>
          <w:rFonts w:ascii="Open Sans" w:eastAsia="Times New Roman" w:hAnsi="Open Sans" w:cs="Open Sans"/>
          <w:color w:val="000000"/>
          <w:sz w:val="20"/>
          <w:szCs w:val="20"/>
        </w:rPr>
        <w:t>n</w:t>
      </w:r>
      <w:r w:rsidR="006E06CE" w:rsidRPr="006E06CE">
        <w:rPr>
          <w:rFonts w:ascii="Open Sans" w:eastAsia="Times New Roman" w:hAnsi="Open Sans" w:cs="Open Sans"/>
          <w:color w:val="000000"/>
          <w:sz w:val="20"/>
          <w:szCs w:val="20"/>
        </w:rPr>
        <w:t>adwozie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, okres gwarancji na </w:t>
      </w:r>
      <w:r w:rsidR="006E06CE" w:rsidRP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podwozie 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oraz okres gwarancji na </w:t>
      </w:r>
      <w:r w:rsidR="006E06CE" w:rsidRP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system wagowy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ami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10AE797A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2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00797670" w14:textId="572E1D75" w:rsidR="00435C6E" w:rsidRPr="006E06CE" w:rsidRDefault="006E06CE" w:rsidP="006E06CE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bookmarkStart w:id="0" w:name="_Hlk85020543"/>
      <w:r w:rsidRPr="006E06CE">
        <w:rPr>
          <w:rFonts w:ascii="Open Sans" w:eastAsia="Times New Roman" w:hAnsi="Open Sans" w:cs="Open Sans"/>
          <w:color w:val="000000"/>
          <w:sz w:val="20"/>
          <w:szCs w:val="20"/>
        </w:rPr>
        <w:t>Oferta nr 1 Grzegorz Kądziela-wspólnik spółki cywilnej GP Truck Trading S.C. Grzegorz Kądziela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Pr="006E06CE">
        <w:rPr>
          <w:rFonts w:ascii="Open Sans" w:eastAsia="Times New Roman" w:hAnsi="Open Sans" w:cs="Open Sans"/>
          <w:color w:val="000000"/>
          <w:sz w:val="20"/>
          <w:szCs w:val="20"/>
        </w:rPr>
        <w:t>Agnieszka Kądziela, ul. Hoserów 13, 02-995 Warszawa</w:t>
      </w:r>
      <w:r w:rsidR="00447A82">
        <w:br/>
      </w:r>
      <w:bookmarkStart w:id="1" w:name="_Hlk138751940"/>
      <w:r w:rsidR="0020421E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przyznana punktacja</w:t>
      </w:r>
      <w:r w:rsidR="00447A82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:</w:t>
      </w:r>
      <w:r w:rsidR="0020421E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  <w:r w:rsidR="00447A82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cena </w:t>
      </w:r>
      <w:r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75,00</w:t>
      </w:r>
      <w:r w:rsidR="0020421E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r w:rsidR="00447A82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/  </w:t>
      </w:r>
      <w:r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okres gwarancji na nadwozie 1</w:t>
      </w:r>
      <w:r w:rsidR="00447A82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0,00 pkt.    </w:t>
      </w:r>
      <w:r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/ okres gwarancji na podwozie 10,00 pkt. / okres gwarancji na system wagowy 5,00 pkt. </w:t>
      </w:r>
      <w:r w:rsidR="00447A82" w:rsidRPr="006E06CE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 </w:t>
      </w:r>
      <w:r w:rsidR="00447A82" w:rsidRPr="006E06CE"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  <w:t xml:space="preserve">RAZEM 100,00 pkt. </w:t>
      </w:r>
    </w:p>
    <w:bookmarkEnd w:id="1"/>
    <w:p w14:paraId="4E806118" w14:textId="77777777" w:rsidR="006E06CE" w:rsidRPr="006E06CE" w:rsidRDefault="006E06CE" w:rsidP="006E06CE">
      <w:pPr>
        <w:pStyle w:val="Akapitzlist"/>
        <w:autoSpaceDN w:val="0"/>
        <w:adjustRightInd w:val="0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3BFA882" w14:textId="6D233063" w:rsidR="006E06CE" w:rsidRPr="00E422D1" w:rsidRDefault="006E06CE" w:rsidP="00E422D1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E06CE">
        <w:rPr>
          <w:rFonts w:ascii="Open Sans" w:eastAsia="Times New Roman" w:hAnsi="Open Sans" w:cs="Open Sans"/>
          <w:color w:val="000000"/>
          <w:sz w:val="20"/>
          <w:szCs w:val="20"/>
        </w:rPr>
        <w:t>Oferta nr 2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Terberg Matec Polska Sp. z o.o. ul. Inowłodzka 5, 03-237 Warszawa</w:t>
      </w:r>
      <w:bookmarkEnd w:id="0"/>
      <w:r w:rsidR="00E422D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P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61,20</w:t>
      </w:r>
      <w:r w:rsidRP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/  okres gwarancji na nadwozie 10,00 pkt.   </w:t>
      </w:r>
      <w:r w:rsid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/</w:t>
      </w:r>
      <w:r w:rsidRP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br/>
      </w:r>
      <w:r w:rsidRPr="00E422D1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okres gwarancji na podwozie 10,00 pkt. / okres gwarancji na system wagowy 5,00 pkt.    </w:t>
      </w:r>
      <w:r w:rsidRPr="00E422D1"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  <w:t xml:space="preserve">RAZEM </w:t>
      </w:r>
      <w:r w:rsidRPr="00E422D1"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  <w:t>86,20</w:t>
      </w:r>
      <w:r w:rsidRPr="00E422D1">
        <w:rPr>
          <w:rFonts w:ascii="Open Sans" w:hAnsi="Open Sans" w:cs="Open Sans"/>
          <w:bCs/>
          <w:color w:val="0000FF"/>
          <w:sz w:val="16"/>
          <w:szCs w:val="16"/>
          <w:u w:val="single"/>
          <w:lang w:eastAsia="pl-PL"/>
        </w:rPr>
        <w:t xml:space="preserve"> pkt. </w:t>
      </w:r>
    </w:p>
    <w:p w14:paraId="07F8D629" w14:textId="77777777" w:rsidR="00506B1C" w:rsidRPr="00935B55" w:rsidRDefault="00506B1C" w:rsidP="00506B1C">
      <w:pPr>
        <w:pStyle w:val="Akapitzlist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126FA4E3" w14:textId="16199A0E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6E06CE">
        <w:rPr>
          <w:rFonts w:ascii="Open Sans" w:hAnsi="Open Sans" w:cs="Open Sans"/>
          <w:sz w:val="20"/>
          <w:szCs w:val="20"/>
        </w:rPr>
        <w:t>1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5F19AF6A" w14:textId="77777777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</w:t>
      </w:r>
    </w:p>
    <w:p w14:paraId="22704B3D" w14:textId="64857C5F" w:rsidR="00D26943" w:rsidRPr="00816158" w:rsidRDefault="00506B1C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p w14:paraId="614713F2" w14:textId="77777777" w:rsidR="00447A82" w:rsidRPr="00816158" w:rsidRDefault="00447A82">
      <w:pPr>
        <w:jc w:val="both"/>
        <w:rPr>
          <w:rFonts w:ascii="Open Sans" w:hAnsi="Open Sans" w:cs="Open Sans"/>
          <w:sz w:val="20"/>
          <w:szCs w:val="20"/>
        </w:rPr>
      </w:pP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6439" w14:textId="77777777" w:rsidR="001D02A3" w:rsidRDefault="001D02A3" w:rsidP="00732A8A">
      <w:pPr>
        <w:spacing w:after="0" w:line="240" w:lineRule="auto"/>
      </w:pPr>
      <w:r>
        <w:separator/>
      </w:r>
    </w:p>
  </w:endnote>
  <w:endnote w:type="continuationSeparator" w:id="0">
    <w:p w14:paraId="3B41092C" w14:textId="77777777" w:rsidR="001D02A3" w:rsidRDefault="001D02A3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22F" w14:textId="77777777" w:rsidR="001D02A3" w:rsidRDefault="001D02A3" w:rsidP="00732A8A">
      <w:pPr>
        <w:spacing w:after="0" w:line="240" w:lineRule="auto"/>
      </w:pPr>
      <w:r>
        <w:separator/>
      </w:r>
    </w:p>
  </w:footnote>
  <w:footnote w:type="continuationSeparator" w:id="0">
    <w:p w14:paraId="09C61EA7" w14:textId="77777777" w:rsidR="001D02A3" w:rsidRDefault="001D02A3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7A9F"/>
    <w:rsid w:val="00713051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80C47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2023-06-27T07:43:00Z</dcterms:created>
  <dcterms:modified xsi:type="dcterms:W3CDTF">2023-06-27T07:57:00Z</dcterms:modified>
</cp:coreProperties>
</file>