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4B97D285" w14:textId="6F3D8AD6" w:rsidR="00FD2350" w:rsidRPr="00FD2350" w:rsidRDefault="00AC7F25" w:rsidP="00FD2350">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45677796"/>
      <w:r w:rsidR="007F6030" w:rsidRPr="007F6030">
        <w:rPr>
          <w:rFonts w:ascii="Open Sans" w:eastAsia="Times New Roman" w:hAnsi="Open Sans" w:cs="Open Sans"/>
          <w:i/>
          <w:iCs/>
          <w:color w:val="000000" w:themeColor="text1"/>
          <w:sz w:val="20"/>
          <w:szCs w:val="20"/>
          <w:lang w:eastAsia="pl-PL"/>
        </w:rPr>
        <w:t>„</w:t>
      </w:r>
      <w:r w:rsidR="00FD2350" w:rsidRPr="00FD2350">
        <w:rPr>
          <w:rFonts w:ascii="Open Sans" w:eastAsia="Times New Roman" w:hAnsi="Open Sans" w:cs="Open Sans"/>
          <w:i/>
          <w:iCs/>
          <w:color w:val="000000" w:themeColor="text1"/>
          <w:sz w:val="20"/>
          <w:szCs w:val="20"/>
          <w:lang w:eastAsia="pl-PL"/>
        </w:rPr>
        <w:t>Dostawa opon do Regionalnego Zakładu Odzysku Odpadów w Sianowie w podziale na 3 części:</w:t>
      </w:r>
    </w:p>
    <w:p w14:paraId="1A740C17" w14:textId="1E8813A9" w:rsidR="00FD2350" w:rsidRPr="00FD2350" w:rsidRDefault="003959B0" w:rsidP="00FD2350">
      <w:pPr>
        <w:spacing w:after="0" w:line="360" w:lineRule="auto"/>
        <w:ind w:right="-427"/>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Część </w:t>
      </w:r>
      <w:r w:rsidR="00FD2350" w:rsidRPr="00FD2350">
        <w:rPr>
          <w:rFonts w:ascii="Open Sans" w:eastAsia="Times New Roman" w:hAnsi="Open Sans" w:cs="Open Sans"/>
          <w:i/>
          <w:iCs/>
          <w:color w:val="000000" w:themeColor="text1"/>
          <w:sz w:val="20"/>
          <w:szCs w:val="20"/>
          <w:lang w:eastAsia="pl-PL"/>
        </w:rPr>
        <w:t>I.</w:t>
      </w:r>
      <w:r w:rsidR="00FD2350" w:rsidRPr="00FD2350">
        <w:rPr>
          <w:rFonts w:ascii="Open Sans" w:eastAsia="Times New Roman" w:hAnsi="Open Sans" w:cs="Open Sans"/>
          <w:i/>
          <w:iCs/>
          <w:color w:val="000000" w:themeColor="text1"/>
          <w:sz w:val="20"/>
          <w:szCs w:val="20"/>
          <w:lang w:eastAsia="pl-PL"/>
        </w:rPr>
        <w:tab/>
        <w:t>Dostawa, montaż oraz monitoring eksploatacji nowych opon rozmiar 15,5 R 25 - 8 szt.</w:t>
      </w:r>
    </w:p>
    <w:p w14:paraId="710084AD" w14:textId="677DB24F" w:rsidR="00FD2350" w:rsidRPr="00FD2350" w:rsidRDefault="003959B0" w:rsidP="00FD2350">
      <w:pPr>
        <w:spacing w:after="0" w:line="360" w:lineRule="auto"/>
        <w:ind w:right="-427"/>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Część </w:t>
      </w:r>
      <w:r w:rsidR="00FD2350" w:rsidRPr="00FD2350">
        <w:rPr>
          <w:rFonts w:ascii="Open Sans" w:eastAsia="Times New Roman" w:hAnsi="Open Sans" w:cs="Open Sans"/>
          <w:i/>
          <w:iCs/>
          <w:color w:val="000000" w:themeColor="text1"/>
          <w:sz w:val="20"/>
          <w:szCs w:val="20"/>
          <w:lang w:eastAsia="pl-PL"/>
        </w:rPr>
        <w:t>II.</w:t>
      </w:r>
      <w:r w:rsidR="00FD2350" w:rsidRPr="00FD2350">
        <w:rPr>
          <w:rFonts w:ascii="Open Sans" w:eastAsia="Times New Roman" w:hAnsi="Open Sans" w:cs="Open Sans"/>
          <w:i/>
          <w:iCs/>
          <w:color w:val="000000" w:themeColor="text1"/>
          <w:sz w:val="20"/>
          <w:szCs w:val="20"/>
          <w:lang w:eastAsia="pl-PL"/>
        </w:rPr>
        <w:tab/>
        <w:t>Dostawa, montaż oraz monitoring eksploatacji nowych opon rozmiar 20,5 R 25 -16 szt.</w:t>
      </w:r>
    </w:p>
    <w:p w14:paraId="0424DC18" w14:textId="39F39A4B" w:rsidR="00936816" w:rsidRPr="00F91364" w:rsidRDefault="003959B0" w:rsidP="00CF3CAC">
      <w:pPr>
        <w:spacing w:after="0" w:line="360" w:lineRule="auto"/>
        <w:ind w:right="-427"/>
        <w:jc w:val="both"/>
        <w:rPr>
          <w:rFonts w:ascii="Open Sans" w:eastAsia="Times New Roman" w:hAnsi="Open Sans" w:cs="Open Sans"/>
          <w:bCs/>
          <w:i/>
          <w:iCs/>
          <w:color w:val="000000"/>
          <w:lang w:eastAsia="pl-PL"/>
        </w:rPr>
      </w:pPr>
      <w:r>
        <w:rPr>
          <w:rFonts w:ascii="Open Sans" w:eastAsia="Times New Roman" w:hAnsi="Open Sans" w:cs="Open Sans"/>
          <w:i/>
          <w:iCs/>
          <w:color w:val="000000" w:themeColor="text1"/>
          <w:sz w:val="20"/>
          <w:szCs w:val="20"/>
          <w:lang w:eastAsia="pl-PL"/>
        </w:rPr>
        <w:t xml:space="preserve">Część </w:t>
      </w:r>
      <w:r w:rsidR="00FD2350" w:rsidRPr="00FD2350">
        <w:rPr>
          <w:rFonts w:ascii="Open Sans" w:eastAsia="Times New Roman" w:hAnsi="Open Sans" w:cs="Open Sans"/>
          <w:i/>
          <w:iCs/>
          <w:color w:val="000000" w:themeColor="text1"/>
          <w:sz w:val="20"/>
          <w:szCs w:val="20"/>
          <w:lang w:eastAsia="pl-PL"/>
        </w:rPr>
        <w:t>III.</w:t>
      </w:r>
      <w:r w:rsidR="00375317">
        <w:rPr>
          <w:rFonts w:ascii="Open Sans" w:eastAsia="Times New Roman" w:hAnsi="Open Sans" w:cs="Open Sans"/>
          <w:i/>
          <w:iCs/>
          <w:color w:val="000000" w:themeColor="text1"/>
          <w:sz w:val="20"/>
          <w:szCs w:val="20"/>
          <w:lang w:eastAsia="pl-PL"/>
        </w:rPr>
        <w:t xml:space="preserve"> </w:t>
      </w:r>
      <w:r w:rsidR="00FD2350" w:rsidRPr="00FD2350">
        <w:rPr>
          <w:rFonts w:ascii="Open Sans" w:eastAsia="Times New Roman" w:hAnsi="Open Sans" w:cs="Open Sans"/>
          <w:i/>
          <w:iCs/>
          <w:color w:val="000000" w:themeColor="text1"/>
          <w:sz w:val="20"/>
          <w:szCs w:val="20"/>
          <w:lang w:eastAsia="pl-PL"/>
        </w:rPr>
        <w:t>Dostawa oraz montaż nowych opon rolniczych rozmiar: 540/65 R28 – 4 szt. oraz 650/65 R38 – 4 szt.</w:t>
      </w:r>
      <w:r w:rsidR="007F6030" w:rsidRPr="007F6030">
        <w:rPr>
          <w:rFonts w:ascii="Open Sans" w:eastAsia="Times New Roman" w:hAnsi="Open Sans" w:cs="Open Sans"/>
          <w:i/>
          <w:iCs/>
          <w:color w:val="000000" w:themeColor="text1"/>
          <w:sz w:val="20"/>
          <w:szCs w:val="20"/>
          <w:lang w:eastAsia="pl-PL"/>
        </w:rPr>
        <w:t>”</w:t>
      </w:r>
      <w:bookmarkEnd w:id="2"/>
      <w:bookmarkEnd w:id="3"/>
      <w:bookmarkEnd w:id="4"/>
      <w:bookmarkEnd w:id="5"/>
      <w:bookmarkEnd w:id="6"/>
      <w:bookmarkEnd w:id="7"/>
      <w:bookmarkEnd w:id="8"/>
      <w:bookmarkEnd w:id="9"/>
      <w:bookmarkEnd w:id="10"/>
      <w:bookmarkEnd w:id="11"/>
      <w:r w:rsidR="0064740B"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bookmarkEnd w:id="12"/>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DBE5FB9"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w:t>
      </w:r>
      <w:r w:rsidR="00444072">
        <w:rPr>
          <w:rFonts w:ascii="Open Sans" w:eastAsia="Times New Roman" w:hAnsi="Open Sans" w:cs="Open Sans"/>
          <w:bCs/>
          <w:i/>
          <w:iCs/>
          <w:color w:val="000000"/>
          <w:sz w:val="18"/>
          <w:szCs w:val="18"/>
          <w:lang w:eastAsia="pl-PL"/>
        </w:rPr>
        <w:t>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9BA8151"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8460A2" w:rsidRPr="008460A2">
        <w:rPr>
          <w:rFonts w:ascii="Open Sans" w:eastAsia="Times New Roman" w:hAnsi="Open Sans" w:cs="Open Sans"/>
          <w:i/>
          <w:iCs/>
          <w:color w:val="000000" w:themeColor="text1"/>
          <w:sz w:val="16"/>
          <w:szCs w:val="16"/>
          <w:lang w:eastAsia="pl-PL"/>
        </w:rPr>
        <w:t>2023/BZP 00399582/01</w:t>
      </w:r>
      <w:r w:rsidR="00A21A86">
        <w:rPr>
          <w:rFonts w:ascii="Open Sans" w:eastAsia="Times New Roman" w:hAnsi="Open Sans" w:cs="Open Sans"/>
          <w:i/>
          <w:iCs/>
          <w:color w:val="000000" w:themeColor="text1"/>
          <w:sz w:val="16"/>
          <w:szCs w:val="16"/>
          <w:lang w:eastAsia="pl-PL"/>
        </w:rPr>
        <w:t xml:space="preserve">   </w:t>
      </w:r>
    </w:p>
    <w:p w14:paraId="03B96535" w14:textId="6F3DE820"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8628D4">
        <w:rPr>
          <w:rFonts w:ascii="Open Sans" w:eastAsia="Times New Roman" w:hAnsi="Open Sans" w:cs="Open Sans"/>
          <w:i/>
          <w:iCs/>
          <w:color w:val="000000" w:themeColor="text1"/>
          <w:sz w:val="16"/>
          <w:szCs w:val="16"/>
          <w:lang w:eastAsia="pl-PL"/>
        </w:rPr>
        <w:t>2</w:t>
      </w:r>
      <w:r w:rsidRPr="004928A0">
        <w:rPr>
          <w:rFonts w:ascii="Open Sans" w:eastAsia="Times New Roman" w:hAnsi="Open Sans" w:cs="Open Sans"/>
          <w:i/>
          <w:iCs/>
          <w:color w:val="000000" w:themeColor="text1"/>
          <w:sz w:val="16"/>
          <w:szCs w:val="16"/>
          <w:lang w:eastAsia="pl-PL"/>
        </w:rPr>
        <w:t>/AP/2023</w:t>
      </w:r>
    </w:p>
    <w:bookmarkEnd w:id="13"/>
    <w:p w14:paraId="0167B88B" w14:textId="116BAC5A"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B52F29" w:rsidRPr="00B52F29">
        <w:t xml:space="preserve"> </w:t>
      </w:r>
      <w:r w:rsidR="00B52F29" w:rsidRPr="00B52F29">
        <w:rPr>
          <w:rFonts w:ascii="Open Sans" w:eastAsia="Times New Roman" w:hAnsi="Open Sans" w:cs="Open Sans"/>
          <w:i/>
          <w:iCs/>
          <w:color w:val="000000" w:themeColor="text1"/>
          <w:sz w:val="16"/>
          <w:szCs w:val="16"/>
          <w:lang w:eastAsia="pl-PL"/>
        </w:rPr>
        <w:t>ocds-148610-1900d6e1-553f-11ee-9aa3-96d3b4440790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A757FC9"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1D7330">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5"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5"/>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6"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4D331D7C" w14:textId="77777777" w:rsidR="003B7E59" w:rsidRDefault="003B7E59"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6"/>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7"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7"/>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8" w:name="_Toc63232053"/>
      <w:bookmarkStart w:id="19" w:name="_Toc63232279"/>
      <w:bookmarkStart w:id="20"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8"/>
    <w:bookmarkEnd w:id="19"/>
    <w:bookmarkEnd w:id="20"/>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12A714E"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3B7E59">
        <w:rPr>
          <w:rFonts w:ascii="Open Sans" w:eastAsia="Times New Roman" w:hAnsi="Open Sans" w:cs="Open Sans"/>
          <w:i/>
          <w:iCs/>
          <w:lang w:eastAsia="pl-PL"/>
        </w:rPr>
        <w:t>przewi</w:t>
      </w:r>
      <w:r w:rsidR="00E11B37">
        <w:rPr>
          <w:rFonts w:ascii="Open Sans" w:eastAsia="Times New Roman" w:hAnsi="Open Sans" w:cs="Open Sans"/>
          <w:i/>
          <w:iCs/>
          <w:lang w:eastAsia="pl-PL"/>
        </w:rPr>
        <w:t xml:space="preserve">duje podział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52A10E" w14:textId="402A7E0C" w:rsidR="00B644A5" w:rsidRPr="00B644A5" w:rsidRDefault="004F0127" w:rsidP="00B644A5">
      <w:pPr>
        <w:spacing w:after="0" w:line="276" w:lineRule="auto"/>
        <w:jc w:val="both"/>
        <w:rPr>
          <w:rFonts w:ascii="Open Sans" w:eastAsia="Times New Roman" w:hAnsi="Open Sans" w:cs="Open Sans"/>
          <w:i/>
          <w:iCs/>
          <w:color w:val="000000" w:themeColor="text1"/>
          <w:sz w:val="20"/>
          <w:szCs w:val="20"/>
          <w:lang w:eastAsia="pl-PL"/>
        </w:rPr>
      </w:pPr>
      <w:r w:rsidRPr="00250D13">
        <w:rPr>
          <w:rFonts w:ascii="Open Sans" w:eastAsia="Times New Roman" w:hAnsi="Open Sans" w:cs="Open Sans"/>
          <w:i/>
          <w:iCs/>
          <w:color w:val="000000" w:themeColor="text1"/>
          <w:sz w:val="20"/>
          <w:szCs w:val="20"/>
          <w:lang w:eastAsia="pl-PL"/>
        </w:rPr>
        <w:lastRenderedPageBreak/>
        <w:t>3.</w:t>
      </w:r>
      <w:r w:rsidR="0064740B" w:rsidRPr="00250D13">
        <w:rPr>
          <w:rFonts w:ascii="Open Sans" w:hAnsi="Open Sans" w:cs="Open Sans"/>
          <w:i/>
          <w:iCs/>
          <w:color w:val="000000" w:themeColor="text1"/>
          <w:sz w:val="20"/>
          <w:szCs w:val="20"/>
        </w:rPr>
        <w:t xml:space="preserve">Przedmiot </w:t>
      </w:r>
      <w:r w:rsidR="0064740B" w:rsidRPr="00250D13">
        <w:rPr>
          <w:rFonts w:ascii="Open Sans" w:hAnsi="Open Sans" w:cs="Open Sans"/>
          <w:i/>
          <w:iCs/>
          <w:color w:val="0D0D0D" w:themeColor="text1" w:themeTint="F2"/>
          <w:sz w:val="20"/>
          <w:szCs w:val="20"/>
        </w:rPr>
        <w:t>zamówienia</w:t>
      </w:r>
      <w:r w:rsidR="00803A24" w:rsidRPr="00250D13">
        <w:rPr>
          <w:rFonts w:ascii="Open Sans" w:hAnsi="Open Sans" w:cs="Open Sans"/>
          <w:i/>
          <w:iCs/>
          <w:color w:val="000000" w:themeColor="text1"/>
          <w:sz w:val="20"/>
          <w:szCs w:val="20"/>
        </w:rPr>
        <w:t>:</w:t>
      </w:r>
      <w:r w:rsidR="0064740B" w:rsidRPr="00250D13">
        <w:rPr>
          <w:rFonts w:ascii="Open Sans" w:hAnsi="Open Sans" w:cs="Open Sans"/>
          <w:i/>
          <w:iCs/>
          <w:color w:val="000000" w:themeColor="text1"/>
          <w:sz w:val="20"/>
          <w:szCs w:val="20"/>
        </w:rPr>
        <w:t xml:space="preserve"> </w:t>
      </w:r>
      <w:bookmarkStart w:id="21" w:name="_Hlk76494993"/>
      <w:r w:rsidR="006B30BD" w:rsidRPr="00250D13">
        <w:rPr>
          <w:rFonts w:ascii="Open Sans" w:eastAsia="Times New Roman" w:hAnsi="Open Sans" w:cs="Open Sans"/>
          <w:i/>
          <w:iCs/>
          <w:color w:val="000000" w:themeColor="text1"/>
          <w:sz w:val="20"/>
          <w:szCs w:val="20"/>
          <w:lang w:eastAsia="pl-PL"/>
        </w:rPr>
        <w:t xml:space="preserve"> </w:t>
      </w:r>
      <w:r w:rsidR="00B644A5" w:rsidRPr="00250D13">
        <w:rPr>
          <w:rFonts w:ascii="Open Sans" w:eastAsia="Times New Roman" w:hAnsi="Open Sans" w:cs="Open Sans"/>
          <w:i/>
          <w:iCs/>
          <w:color w:val="000000" w:themeColor="text1"/>
          <w:sz w:val="20"/>
          <w:szCs w:val="20"/>
          <w:lang w:eastAsia="pl-PL"/>
        </w:rPr>
        <w:t>„Dostawa</w:t>
      </w:r>
      <w:r w:rsidR="00B644A5" w:rsidRPr="00B644A5">
        <w:rPr>
          <w:rFonts w:ascii="Open Sans" w:eastAsia="Times New Roman" w:hAnsi="Open Sans" w:cs="Open Sans"/>
          <w:i/>
          <w:iCs/>
          <w:color w:val="000000" w:themeColor="text1"/>
          <w:sz w:val="20"/>
          <w:szCs w:val="20"/>
          <w:lang w:eastAsia="pl-PL"/>
        </w:rPr>
        <w:t xml:space="preserve"> opon do R</w:t>
      </w:r>
      <w:r w:rsidR="00B644A5">
        <w:rPr>
          <w:rFonts w:ascii="Open Sans" w:eastAsia="Times New Roman" w:hAnsi="Open Sans" w:cs="Open Sans"/>
          <w:i/>
          <w:iCs/>
          <w:color w:val="000000" w:themeColor="text1"/>
          <w:sz w:val="20"/>
          <w:szCs w:val="20"/>
          <w:lang w:eastAsia="pl-PL"/>
        </w:rPr>
        <w:t>ZOO</w:t>
      </w:r>
      <w:r w:rsidR="00B644A5" w:rsidRPr="00B644A5">
        <w:rPr>
          <w:rFonts w:ascii="Open Sans" w:eastAsia="Times New Roman" w:hAnsi="Open Sans" w:cs="Open Sans"/>
          <w:i/>
          <w:iCs/>
          <w:color w:val="000000" w:themeColor="text1"/>
          <w:sz w:val="20"/>
          <w:szCs w:val="20"/>
          <w:lang w:eastAsia="pl-PL"/>
        </w:rPr>
        <w:t xml:space="preserve"> w Sianowie w podziale na 3 części:</w:t>
      </w:r>
      <w:r w:rsidR="00B644A5">
        <w:rPr>
          <w:rFonts w:ascii="Open Sans" w:eastAsia="Times New Roman" w:hAnsi="Open Sans" w:cs="Open Sans"/>
          <w:i/>
          <w:iCs/>
          <w:color w:val="000000" w:themeColor="text1"/>
          <w:sz w:val="20"/>
          <w:szCs w:val="20"/>
          <w:lang w:eastAsia="pl-PL"/>
        </w:rPr>
        <w:t xml:space="preserve"> </w:t>
      </w:r>
      <w:r w:rsidR="00B644A5">
        <w:rPr>
          <w:rFonts w:ascii="Open Sans" w:eastAsia="Times New Roman" w:hAnsi="Open Sans" w:cs="Open Sans"/>
          <w:i/>
          <w:iCs/>
          <w:color w:val="000000" w:themeColor="text1"/>
          <w:sz w:val="20"/>
          <w:szCs w:val="20"/>
          <w:lang w:eastAsia="pl-PL"/>
        </w:rPr>
        <w:br/>
      </w:r>
      <w:r w:rsidR="00B644A5" w:rsidRPr="00B644A5">
        <w:rPr>
          <w:rFonts w:ascii="Open Sans" w:eastAsia="Times New Roman" w:hAnsi="Open Sans" w:cs="Open Sans"/>
          <w:i/>
          <w:iCs/>
          <w:color w:val="000000" w:themeColor="text1"/>
          <w:sz w:val="20"/>
          <w:szCs w:val="20"/>
          <w:lang w:eastAsia="pl-PL"/>
        </w:rPr>
        <w:t>Część I.</w:t>
      </w:r>
      <w:r w:rsidR="00B644A5" w:rsidRPr="00B644A5">
        <w:rPr>
          <w:rFonts w:ascii="Open Sans" w:eastAsia="Times New Roman" w:hAnsi="Open Sans" w:cs="Open Sans"/>
          <w:i/>
          <w:iCs/>
          <w:color w:val="000000" w:themeColor="text1"/>
          <w:sz w:val="20"/>
          <w:szCs w:val="20"/>
          <w:lang w:eastAsia="pl-PL"/>
        </w:rPr>
        <w:tab/>
        <w:t>Dostawa, montaż oraz monitoring eksploatacji nowych opon rozmiar 15,5 R 25 - 8 szt.</w:t>
      </w:r>
    </w:p>
    <w:p w14:paraId="5DF97FBC" w14:textId="77777777" w:rsidR="00B644A5" w:rsidRPr="00B644A5" w:rsidRDefault="00B644A5" w:rsidP="00B644A5">
      <w:pPr>
        <w:spacing w:after="0" w:line="276" w:lineRule="auto"/>
        <w:jc w:val="both"/>
        <w:rPr>
          <w:rFonts w:ascii="Open Sans" w:eastAsia="Times New Roman" w:hAnsi="Open Sans" w:cs="Open Sans"/>
          <w:i/>
          <w:iCs/>
          <w:color w:val="000000" w:themeColor="text1"/>
          <w:sz w:val="20"/>
          <w:szCs w:val="20"/>
          <w:lang w:eastAsia="pl-PL"/>
        </w:rPr>
      </w:pPr>
      <w:r w:rsidRPr="00B644A5">
        <w:rPr>
          <w:rFonts w:ascii="Open Sans" w:eastAsia="Times New Roman" w:hAnsi="Open Sans" w:cs="Open Sans"/>
          <w:i/>
          <w:iCs/>
          <w:color w:val="000000" w:themeColor="text1"/>
          <w:sz w:val="20"/>
          <w:szCs w:val="20"/>
          <w:lang w:eastAsia="pl-PL"/>
        </w:rPr>
        <w:t>Część II.</w:t>
      </w:r>
      <w:r w:rsidRPr="00B644A5">
        <w:rPr>
          <w:rFonts w:ascii="Open Sans" w:eastAsia="Times New Roman" w:hAnsi="Open Sans" w:cs="Open Sans"/>
          <w:i/>
          <w:iCs/>
          <w:color w:val="000000" w:themeColor="text1"/>
          <w:sz w:val="20"/>
          <w:szCs w:val="20"/>
          <w:lang w:eastAsia="pl-PL"/>
        </w:rPr>
        <w:tab/>
        <w:t>Dostawa, montaż oraz monitoring eksploatacji nowych opon rozmiar 20,5 R 25 -16 szt.</w:t>
      </w:r>
    </w:p>
    <w:p w14:paraId="551C0034" w14:textId="67065CBE" w:rsidR="00B93151" w:rsidRPr="006B30BD" w:rsidRDefault="00B644A5" w:rsidP="00B644A5">
      <w:pPr>
        <w:spacing w:after="0" w:line="276" w:lineRule="auto"/>
        <w:jc w:val="both"/>
        <w:rPr>
          <w:rFonts w:ascii="Open Sans" w:eastAsia="Times New Roman" w:hAnsi="Open Sans" w:cs="Open Sans"/>
          <w:i/>
          <w:iCs/>
          <w:color w:val="000000" w:themeColor="text1"/>
          <w:sz w:val="20"/>
          <w:szCs w:val="20"/>
          <w:lang w:eastAsia="pl-PL"/>
        </w:rPr>
      </w:pPr>
      <w:r w:rsidRPr="00B644A5">
        <w:rPr>
          <w:rFonts w:ascii="Open Sans" w:eastAsia="Times New Roman" w:hAnsi="Open Sans" w:cs="Open Sans"/>
          <w:i/>
          <w:iCs/>
          <w:color w:val="000000" w:themeColor="text1"/>
          <w:sz w:val="20"/>
          <w:szCs w:val="20"/>
          <w:lang w:eastAsia="pl-PL"/>
        </w:rPr>
        <w:t xml:space="preserve">Część III. Dostawa oraz montaż nowych opon rolniczych rozmiar: 540/65 R28 – 4 szt. </w:t>
      </w:r>
      <w:r>
        <w:rPr>
          <w:rFonts w:ascii="Open Sans" w:eastAsia="Times New Roman" w:hAnsi="Open Sans" w:cs="Open Sans"/>
          <w:i/>
          <w:iCs/>
          <w:color w:val="000000" w:themeColor="text1"/>
          <w:sz w:val="20"/>
          <w:szCs w:val="20"/>
          <w:lang w:eastAsia="pl-PL"/>
        </w:rPr>
        <w:br/>
        <w:t xml:space="preserve">                    </w:t>
      </w:r>
      <w:r w:rsidRPr="00B644A5">
        <w:rPr>
          <w:rFonts w:ascii="Open Sans" w:eastAsia="Times New Roman" w:hAnsi="Open Sans" w:cs="Open Sans"/>
          <w:i/>
          <w:iCs/>
          <w:color w:val="000000" w:themeColor="text1"/>
          <w:sz w:val="20"/>
          <w:szCs w:val="20"/>
          <w:lang w:eastAsia="pl-PL"/>
        </w:rPr>
        <w:t xml:space="preserve">oraz 650/65 R38 – 4 szt.”                                                            </w:t>
      </w:r>
      <w:r w:rsidRPr="00B644A5">
        <w:rPr>
          <w:rFonts w:ascii="Open Sans" w:eastAsia="Times New Roman" w:hAnsi="Open Sans" w:cs="Open Sans"/>
          <w:i/>
          <w:iCs/>
          <w:color w:val="000000" w:themeColor="text1"/>
          <w:sz w:val="20"/>
          <w:szCs w:val="20"/>
          <w:u w:val="single"/>
          <w:lang w:eastAsia="pl-PL"/>
        </w:rPr>
        <w:t xml:space="preserve">             </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1"/>
    <w:p w14:paraId="3802D593" w14:textId="289C449C"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0939">
        <w:rPr>
          <w:rFonts w:ascii="Open Sans" w:eastAsia="Times New Roman" w:hAnsi="Open Sans" w:cs="Open Sans"/>
          <w:i/>
          <w:iCs/>
          <w:color w:val="000000" w:themeColor="text1"/>
          <w:sz w:val="20"/>
          <w:szCs w:val="20"/>
          <w:lang w:eastAsia="pl-PL"/>
        </w:rPr>
        <w:t>34351100-3</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0BD7546F"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C10939" w:rsidRPr="00C10939">
        <w:rPr>
          <w:rFonts w:ascii="Open Sans" w:eastAsia="Times New Roman" w:hAnsi="Open Sans" w:cs="Open Sans"/>
          <w:i/>
          <w:iCs/>
          <w:color w:val="000000" w:themeColor="text1"/>
          <w:sz w:val="20"/>
          <w:szCs w:val="20"/>
          <w:lang w:eastAsia="pl-PL"/>
        </w:rPr>
        <w:t xml:space="preserve">Regionalny Zakład Odzysku Odpadów w Sianowie </w:t>
      </w:r>
      <w:r w:rsidR="00C10939">
        <w:rPr>
          <w:rFonts w:ascii="Open Sans" w:eastAsia="Times New Roman" w:hAnsi="Open Sans" w:cs="Open Sans"/>
          <w:i/>
          <w:iCs/>
          <w:color w:val="000000" w:themeColor="text1"/>
          <w:sz w:val="20"/>
          <w:szCs w:val="20"/>
          <w:lang w:eastAsia="pl-PL"/>
        </w:rPr>
        <w:br/>
        <w:t xml:space="preserve">            </w:t>
      </w:r>
      <w:r w:rsidR="00C10939" w:rsidRPr="00C10939">
        <w:rPr>
          <w:rFonts w:ascii="Open Sans" w:eastAsia="Times New Roman" w:hAnsi="Open Sans" w:cs="Open Sans"/>
          <w:i/>
          <w:iCs/>
          <w:color w:val="000000" w:themeColor="text1"/>
          <w:sz w:val="20"/>
          <w:szCs w:val="20"/>
          <w:lang w:eastAsia="pl-PL"/>
        </w:rPr>
        <w:t>ul. Łubuszan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080539AD"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250D13">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0AD1B503"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BF00E9" w:rsidRPr="00BF00E9">
        <w:rPr>
          <w:i/>
          <w:iCs/>
          <w:sz w:val="20"/>
          <w:szCs w:val="20"/>
        </w:rPr>
        <w:t>do 30 dni od dnia podpisania umowy.</w:t>
      </w:r>
      <w:r w:rsidR="00CC45EE" w:rsidRPr="00CC45EE">
        <w:rPr>
          <w:i/>
          <w:iCs/>
          <w:sz w:val="20"/>
          <w:szCs w:val="20"/>
        </w:rPr>
        <w:t xml:space="preserve">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2" w:name="_Hlk70503464"/>
      <w:r w:rsidRPr="00782703">
        <w:rPr>
          <w:rFonts w:ascii="Open Sans" w:hAnsi="Open Sans" w:cs="Open Sans"/>
          <w:bCs/>
          <w:i/>
          <w:iCs/>
          <w:color w:val="000000" w:themeColor="text1"/>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ani nie znajduje się on w innej tego rodzaju sytuacji wynikającej z podobnej procedury przewidzianej w przepisach miejsca wszczęcia tej procedury. Dokument, o którym mowa powyżej, powinien być </w:t>
      </w:r>
      <w:r w:rsidRPr="001C190C">
        <w:rPr>
          <w:rFonts w:ascii="Open Sans" w:eastAsia="Times New Roman" w:hAnsi="Open Sans" w:cs="Open Sans"/>
          <w:i/>
          <w:iCs/>
          <w:sz w:val="20"/>
          <w:szCs w:val="20"/>
          <w:lang w:eastAsia="pl-PL"/>
        </w:rPr>
        <w:lastRenderedPageBreak/>
        <w:t>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00CCB8B" w14:textId="34D8D04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53102EBB" w14:textId="77777777" w:rsidR="00F9242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p>
    <w:p w14:paraId="4EBAA944" w14:textId="00221D64" w:rsidR="00CB6588" w:rsidRPr="00CB6588" w:rsidRDefault="00CB6588" w:rsidP="00CB6588">
      <w:pPr>
        <w:spacing w:line="276" w:lineRule="auto"/>
        <w:ind w:left="360"/>
        <w:jc w:val="both"/>
        <w:rPr>
          <w:rFonts w:ascii="Open Sans" w:eastAsia="Times New Roman" w:hAnsi="Open Sans" w:cs="Open Sans"/>
          <w:i/>
          <w:iCs/>
          <w:color w:val="000000"/>
          <w:sz w:val="20"/>
          <w:szCs w:val="20"/>
          <w:lang w:eastAsia="pl-PL"/>
        </w:rPr>
      </w:pPr>
      <w:r w:rsidRPr="00CB6588">
        <w:rPr>
          <w:rFonts w:ascii="Open Sans" w:eastAsia="Times New Roman" w:hAnsi="Open Sans" w:cs="Open Sans"/>
          <w:i/>
          <w:iCs/>
          <w:color w:val="000000"/>
          <w:sz w:val="20"/>
          <w:szCs w:val="20"/>
          <w:lang w:eastAsia="pl-PL"/>
        </w:rPr>
        <w:t>12.</w:t>
      </w:r>
      <w:r>
        <w:rPr>
          <w:rFonts w:ascii="Open Sans" w:eastAsia="Times New Roman" w:hAnsi="Open Sans" w:cs="Open Sans"/>
          <w:i/>
          <w:iCs/>
          <w:color w:val="000000"/>
          <w:sz w:val="20"/>
          <w:szCs w:val="20"/>
          <w:lang w:eastAsia="pl-PL"/>
        </w:rPr>
        <w:t>4</w:t>
      </w:r>
      <w:r w:rsidRPr="00CB6588">
        <w:rPr>
          <w:rFonts w:ascii="Open Sans" w:eastAsia="Times New Roman" w:hAnsi="Open Sans" w:cs="Open Sans"/>
          <w:i/>
          <w:iCs/>
          <w:color w:val="000000"/>
          <w:sz w:val="20"/>
          <w:szCs w:val="20"/>
          <w:lang w:eastAsia="pl-PL"/>
        </w:rPr>
        <w:t>.Wykonawca może złożyć tylko jedną ofertę na dane zadanie.</w:t>
      </w:r>
    </w:p>
    <w:p w14:paraId="4D4B52FE" w14:textId="76CC2D7D" w:rsidR="00CB6588" w:rsidRDefault="00CB6588" w:rsidP="00CB6588">
      <w:pPr>
        <w:spacing w:line="276" w:lineRule="auto"/>
        <w:ind w:left="360"/>
        <w:jc w:val="both"/>
        <w:rPr>
          <w:rFonts w:ascii="Open Sans" w:eastAsia="Times New Roman" w:hAnsi="Open Sans" w:cs="Open Sans"/>
          <w:i/>
          <w:iCs/>
          <w:color w:val="000000"/>
          <w:sz w:val="20"/>
          <w:szCs w:val="20"/>
          <w:lang w:eastAsia="pl-PL"/>
        </w:rPr>
      </w:pPr>
      <w:r w:rsidRPr="00CB6588">
        <w:rPr>
          <w:rFonts w:ascii="Open Sans" w:eastAsia="Times New Roman" w:hAnsi="Open Sans" w:cs="Open Sans"/>
          <w:i/>
          <w:iCs/>
          <w:color w:val="000000"/>
          <w:sz w:val="20"/>
          <w:szCs w:val="20"/>
          <w:lang w:eastAsia="pl-PL"/>
        </w:rPr>
        <w:t>12.</w:t>
      </w:r>
      <w:r>
        <w:rPr>
          <w:rFonts w:ascii="Open Sans" w:eastAsia="Times New Roman" w:hAnsi="Open Sans" w:cs="Open Sans"/>
          <w:i/>
          <w:iCs/>
          <w:color w:val="000000"/>
          <w:sz w:val="20"/>
          <w:szCs w:val="20"/>
          <w:lang w:eastAsia="pl-PL"/>
        </w:rPr>
        <w:t>5</w:t>
      </w:r>
      <w:r w:rsidRPr="00CB6588">
        <w:rPr>
          <w:rFonts w:ascii="Open Sans" w:eastAsia="Times New Roman" w:hAnsi="Open Sans" w:cs="Open Sans"/>
          <w:i/>
          <w:iCs/>
          <w:color w:val="000000"/>
          <w:sz w:val="20"/>
          <w:szCs w:val="20"/>
          <w:lang w:eastAsia="pl-PL"/>
        </w:rPr>
        <w:t>.Wykonawca może złożyć ofertę na dowolną liczbę zadań (jedno</w:t>
      </w:r>
      <w:r>
        <w:rPr>
          <w:rFonts w:ascii="Open Sans" w:eastAsia="Times New Roman" w:hAnsi="Open Sans" w:cs="Open Sans"/>
          <w:i/>
          <w:iCs/>
          <w:color w:val="000000"/>
          <w:sz w:val="20"/>
          <w:szCs w:val="20"/>
          <w:lang w:eastAsia="pl-PL"/>
        </w:rPr>
        <w:t xml:space="preserve">, dwa </w:t>
      </w:r>
      <w:r w:rsidRPr="00CB6588">
        <w:rPr>
          <w:rFonts w:ascii="Open Sans" w:eastAsia="Times New Roman" w:hAnsi="Open Sans" w:cs="Open Sans"/>
          <w:i/>
          <w:iCs/>
          <w:color w:val="000000"/>
          <w:sz w:val="20"/>
          <w:szCs w:val="20"/>
          <w:lang w:eastAsia="pl-PL"/>
        </w:rPr>
        <w:t xml:space="preserve"> lub </w:t>
      </w:r>
      <w:r>
        <w:rPr>
          <w:rFonts w:ascii="Open Sans" w:eastAsia="Times New Roman" w:hAnsi="Open Sans" w:cs="Open Sans"/>
          <w:i/>
          <w:iCs/>
          <w:color w:val="000000"/>
          <w:sz w:val="20"/>
          <w:szCs w:val="20"/>
          <w:lang w:eastAsia="pl-PL"/>
        </w:rPr>
        <w:t xml:space="preserve">trzy </w:t>
      </w:r>
      <w:r w:rsidRPr="00CB6588">
        <w:rPr>
          <w:rFonts w:ascii="Open Sans" w:eastAsia="Times New Roman" w:hAnsi="Open Sans" w:cs="Open Sans"/>
          <w:i/>
          <w:iCs/>
          <w:color w:val="000000"/>
          <w:sz w:val="20"/>
          <w:szCs w:val="20"/>
          <w:lang w:eastAsia="pl-PL"/>
        </w:rPr>
        <w:t>zadania)</w:t>
      </w:r>
    </w:p>
    <w:p w14:paraId="14DAAE9A" w14:textId="4CCF983D"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20E838DF" w14:textId="77777777" w:rsidR="00FF5D3D"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14.1.</w:t>
      </w:r>
      <w:r w:rsidR="00FF5D3D" w:rsidRPr="00FF5D3D">
        <w:t xml:space="preserve"> </w:t>
      </w:r>
      <w:r w:rsidR="00FF5D3D" w:rsidRPr="00FF5D3D">
        <w:rPr>
          <w:rFonts w:ascii="Open Sans" w:eastAsia="Times New Roman" w:hAnsi="Open Sans" w:cs="Open Sans"/>
          <w:i/>
          <w:iCs/>
          <w:color w:val="000000"/>
          <w:sz w:val="20"/>
          <w:szCs w:val="20"/>
          <w:lang w:eastAsia="pl-PL"/>
        </w:rPr>
        <w:t>Zamawiający nie wymaga od Wykonawców wniesienia wadium.</w:t>
      </w:r>
    </w:p>
    <w:p w14:paraId="664D850F" w14:textId="77777777" w:rsidR="00FF5D3D" w:rsidRDefault="00FF5D3D"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067CE83"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Pr>
          <w:rFonts w:ascii="Open Sans" w:eastAsia="Times New Roman" w:hAnsi="Open Sans" w:cs="Open Sans"/>
          <w:i/>
          <w:iCs/>
          <w:color w:val="000000"/>
          <w:sz w:val="20"/>
          <w:szCs w:val="20"/>
          <w:lang w:eastAsia="pl-PL"/>
        </w:rPr>
        <w:t>2</w:t>
      </w:r>
      <w:r w:rsidR="00737A6F">
        <w:rPr>
          <w:rFonts w:ascii="Open Sans" w:eastAsia="Times New Roman" w:hAnsi="Open Sans" w:cs="Open Sans"/>
          <w:i/>
          <w:iCs/>
          <w:color w:val="000000"/>
          <w:sz w:val="20"/>
          <w:szCs w:val="20"/>
          <w:lang w:eastAsia="pl-PL"/>
        </w:rPr>
        <w:t>5</w:t>
      </w:r>
      <w:r w:rsidR="00356E7A">
        <w:rPr>
          <w:rFonts w:ascii="Open Sans" w:eastAsia="Times New Roman" w:hAnsi="Open Sans" w:cs="Open Sans"/>
          <w:i/>
          <w:iCs/>
          <w:color w:val="000000"/>
          <w:sz w:val="20"/>
          <w:szCs w:val="20"/>
          <w:lang w:eastAsia="pl-PL"/>
        </w:rPr>
        <w:t>.10.</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8706682"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5" w:name="_Hlk132286221"/>
      <w:r w:rsidR="00356E7A">
        <w:rPr>
          <w:rFonts w:ascii="Open Sans" w:eastAsia="Times New Roman" w:hAnsi="Open Sans" w:cs="Open Sans"/>
          <w:i/>
          <w:iCs/>
          <w:color w:val="0D0D0D" w:themeColor="text1" w:themeTint="F2"/>
          <w:sz w:val="20"/>
          <w:szCs w:val="20"/>
          <w:lang w:eastAsia="pl-PL"/>
        </w:rPr>
        <w:t>2</w:t>
      </w:r>
      <w:r w:rsidR="00AA582F">
        <w:rPr>
          <w:rFonts w:ascii="Open Sans" w:eastAsia="Times New Roman" w:hAnsi="Open Sans" w:cs="Open Sans"/>
          <w:i/>
          <w:iCs/>
          <w:color w:val="0D0D0D" w:themeColor="text1" w:themeTint="F2"/>
          <w:sz w:val="20"/>
          <w:szCs w:val="20"/>
          <w:lang w:eastAsia="pl-PL"/>
        </w:rPr>
        <w:t>6</w:t>
      </w:r>
      <w:r w:rsidR="00356E7A">
        <w:rPr>
          <w:rFonts w:ascii="Open Sans" w:eastAsia="Times New Roman" w:hAnsi="Open Sans" w:cs="Open Sans"/>
          <w:i/>
          <w:iCs/>
          <w:color w:val="0D0D0D" w:themeColor="text1" w:themeTint="F2"/>
          <w:sz w:val="20"/>
          <w:szCs w:val="20"/>
          <w:lang w:eastAsia="pl-PL"/>
        </w:rPr>
        <w:t>.09.</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5"/>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5939667E"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lastRenderedPageBreak/>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Pr>
          <w:rFonts w:ascii="Open Sans" w:eastAsia="Times New Roman" w:hAnsi="Open Sans" w:cs="Open Sans"/>
          <w:i/>
          <w:iCs/>
          <w:color w:val="0D0D0D" w:themeColor="text1" w:themeTint="F2"/>
          <w:sz w:val="20"/>
          <w:szCs w:val="20"/>
          <w:lang w:eastAsia="pl-PL"/>
        </w:rPr>
        <w:t>2</w:t>
      </w:r>
      <w:r w:rsidR="00AA582F">
        <w:rPr>
          <w:rFonts w:ascii="Open Sans" w:eastAsia="Times New Roman" w:hAnsi="Open Sans" w:cs="Open Sans"/>
          <w:i/>
          <w:iCs/>
          <w:color w:val="0D0D0D" w:themeColor="text1" w:themeTint="F2"/>
          <w:sz w:val="20"/>
          <w:szCs w:val="20"/>
          <w:lang w:eastAsia="pl-PL"/>
        </w:rPr>
        <w:t>6</w:t>
      </w:r>
      <w:r w:rsidR="00356E7A">
        <w:rPr>
          <w:rFonts w:ascii="Open Sans" w:eastAsia="Times New Roman" w:hAnsi="Open Sans" w:cs="Open Sans"/>
          <w:i/>
          <w:iCs/>
          <w:color w:val="0D0D0D" w:themeColor="text1" w:themeTint="F2"/>
          <w:sz w:val="20"/>
          <w:szCs w:val="20"/>
          <w:lang w:eastAsia="pl-PL"/>
        </w:rPr>
        <w:t>.09.</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5A6F1C8B"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6821D4">
        <w:rPr>
          <w:rFonts w:ascii="Open Sans" w:eastAsia="Times New Roman" w:hAnsi="Open Sans" w:cs="Open Sans"/>
          <w:i/>
          <w:iCs/>
          <w:sz w:val="20"/>
          <w:szCs w:val="20"/>
          <w:u w:val="single"/>
        </w:rPr>
        <w:t xml:space="preserve"> dla trzech części zamówienia:</w:t>
      </w:r>
    </w:p>
    <w:p w14:paraId="6488B98F" w14:textId="77777777" w:rsid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1E50444"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1) cena – 70% - maksymalnie 70 pkt</w:t>
      </w:r>
    </w:p>
    <w:p w14:paraId="09E17E2C"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2) termin dostawy – 10% - maksymalnie 10 pkt</w:t>
      </w:r>
    </w:p>
    <w:p w14:paraId="2AB20CD1"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3) gwarancja przebiegu – 20% - maksymalnie  20 pkt</w:t>
      </w:r>
    </w:p>
    <w:p w14:paraId="0BA27590"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p>
    <w:p w14:paraId="7284BB4C"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xml:space="preserve">Ad. 1) </w:t>
      </w:r>
    </w:p>
    <w:p w14:paraId="69125655"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Cena:</w:t>
      </w:r>
    </w:p>
    <w:p w14:paraId="7F86E14D"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cena najniższa otrzymuje maksymalną ilość punktów – 70</w:t>
      </w:r>
    </w:p>
    <w:p w14:paraId="747E52C9"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ilość punktów ceny z drugiej oferty wyliczane jest według wzoru:</w:t>
      </w:r>
    </w:p>
    <w:p w14:paraId="2D3AE720" w14:textId="77777777" w:rsidR="004C1542" w:rsidRPr="004C1542" w:rsidRDefault="004C1542" w:rsidP="004C1542">
      <w:pPr>
        <w:widowControl w:val="0"/>
        <w:spacing w:after="0" w:line="240" w:lineRule="auto"/>
        <w:jc w:val="both"/>
        <w:rPr>
          <w:rFonts w:ascii="Open Sans" w:eastAsia="Times New Roman" w:hAnsi="Open Sans" w:cs="Open Sans"/>
          <w:sz w:val="20"/>
          <w:szCs w:val="20"/>
          <w:lang w:eastAsia="pl-PL"/>
        </w:rPr>
      </w:pPr>
    </w:p>
    <w:tbl>
      <w:tblPr>
        <w:tblW w:w="0" w:type="auto"/>
        <w:tblInd w:w="534" w:type="dxa"/>
        <w:tblLook w:val="01E0" w:firstRow="1" w:lastRow="1" w:firstColumn="1" w:lastColumn="1" w:noHBand="0" w:noVBand="0"/>
      </w:tblPr>
      <w:tblGrid>
        <w:gridCol w:w="3402"/>
        <w:gridCol w:w="4677"/>
      </w:tblGrid>
      <w:tr w:rsidR="004C1542" w:rsidRPr="004C1542" w14:paraId="3670F5ED" w14:textId="77777777" w:rsidTr="003B35DC">
        <w:tc>
          <w:tcPr>
            <w:tcW w:w="3402" w:type="dxa"/>
          </w:tcPr>
          <w:p w14:paraId="47C18513" w14:textId="77777777" w:rsidR="004C1542" w:rsidRPr="004C1542" w:rsidRDefault="004C1542" w:rsidP="004C1542">
            <w:pPr>
              <w:widowControl w:val="0"/>
              <w:spacing w:after="0" w:line="240" w:lineRule="auto"/>
              <w:jc w:val="center"/>
              <w:rPr>
                <w:rFonts w:ascii="Open Sans" w:eastAsia="Times New Roman" w:hAnsi="Open Sans" w:cs="Open Sans"/>
                <w:i/>
                <w:iCs/>
                <w:sz w:val="18"/>
                <w:szCs w:val="18"/>
                <w:u w:val="single"/>
                <w:lang w:eastAsia="pl-PL"/>
              </w:rPr>
            </w:pPr>
            <w:r w:rsidRPr="004C1542">
              <w:rPr>
                <w:rFonts w:ascii="Open Sans" w:eastAsia="Times New Roman" w:hAnsi="Open Sans" w:cs="Open Sans"/>
                <w:i/>
                <w:iCs/>
                <w:sz w:val="18"/>
                <w:szCs w:val="18"/>
                <w:u w:val="single"/>
                <w:lang w:eastAsia="pl-PL"/>
              </w:rPr>
              <w:t>wartość najniższej ceny</w:t>
            </w:r>
          </w:p>
        </w:tc>
        <w:tc>
          <w:tcPr>
            <w:tcW w:w="4677" w:type="dxa"/>
            <w:vMerge w:val="restart"/>
            <w:vAlign w:val="center"/>
          </w:tcPr>
          <w:p w14:paraId="661B0A8F" w14:textId="77777777" w:rsidR="004C1542" w:rsidRPr="004C1542" w:rsidRDefault="004C1542" w:rsidP="004C1542">
            <w:pPr>
              <w:widowControl w:val="0"/>
              <w:spacing w:after="0" w:line="240" w:lineRule="auto"/>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x 70 pkt = ilość otrzymanych punktów</w:t>
            </w:r>
          </w:p>
        </w:tc>
      </w:tr>
      <w:tr w:rsidR="004C1542" w:rsidRPr="004C1542" w14:paraId="5CD05D64" w14:textId="77777777" w:rsidTr="003B35DC">
        <w:tc>
          <w:tcPr>
            <w:tcW w:w="3402" w:type="dxa"/>
          </w:tcPr>
          <w:p w14:paraId="2697671B" w14:textId="77777777" w:rsidR="004C1542" w:rsidRPr="004C1542" w:rsidRDefault="004C1542" w:rsidP="004C1542">
            <w:pPr>
              <w:widowControl w:val="0"/>
              <w:spacing w:after="0" w:line="240" w:lineRule="auto"/>
              <w:jc w:val="center"/>
              <w:rPr>
                <w:rFonts w:ascii="Open Sans" w:eastAsia="Times New Roman" w:hAnsi="Open Sans" w:cs="Open Sans"/>
                <w:i/>
                <w:iCs/>
                <w:sz w:val="18"/>
                <w:szCs w:val="18"/>
                <w:lang w:eastAsia="pl-PL"/>
              </w:rPr>
            </w:pPr>
            <w:r w:rsidRPr="004C1542">
              <w:rPr>
                <w:rFonts w:ascii="Open Sans" w:eastAsia="Times New Roman" w:hAnsi="Open Sans" w:cs="Open Sans"/>
                <w:i/>
                <w:iCs/>
                <w:sz w:val="18"/>
                <w:szCs w:val="18"/>
                <w:lang w:eastAsia="pl-PL"/>
              </w:rPr>
              <w:t>wartość ceny rozpatrywanej</w:t>
            </w:r>
          </w:p>
        </w:tc>
        <w:tc>
          <w:tcPr>
            <w:tcW w:w="4677" w:type="dxa"/>
            <w:vMerge/>
          </w:tcPr>
          <w:p w14:paraId="195B40C4"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p>
        </w:tc>
      </w:tr>
    </w:tbl>
    <w:p w14:paraId="409BBC64"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p>
    <w:p w14:paraId="319713DB"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xml:space="preserve">Ad. 2) </w:t>
      </w:r>
    </w:p>
    <w:p w14:paraId="0BE195FF"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Termin dostawy:</w:t>
      </w:r>
    </w:p>
    <w:p w14:paraId="68441E84"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powyżej 14 dni do 30 dni od dnia podpisania umowy – 0 pkt</w:t>
      </w:r>
    </w:p>
    <w:p w14:paraId="1853A7B7"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w ciągu 14 dni od dnia podpisania umowy – 10 pkt</w:t>
      </w:r>
    </w:p>
    <w:p w14:paraId="5C55D153"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p>
    <w:p w14:paraId="634C3FAE"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Ad.3)</w:t>
      </w:r>
    </w:p>
    <w:p w14:paraId="7F33F0F1"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Gwarancja przebiegu:</w:t>
      </w:r>
    </w:p>
    <w:p w14:paraId="06AF3BA0"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xml:space="preserve">- przebieg 4000 mth – 0 pkt. </w:t>
      </w:r>
    </w:p>
    <w:p w14:paraId="0B8F1629"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przebieg 4500 mth – 10 pkt.</w:t>
      </w:r>
    </w:p>
    <w:p w14:paraId="0B51DCBE"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przebieg 5000 mth – 20 pkt.</w:t>
      </w:r>
    </w:p>
    <w:p w14:paraId="5E8E2130"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p>
    <w:p w14:paraId="0D9C292C" w14:textId="77777777" w:rsidR="004C1542" w:rsidRPr="004C1542" w:rsidRDefault="004C1542" w:rsidP="004C1542">
      <w:pPr>
        <w:widowControl w:val="0"/>
        <w:spacing w:after="0" w:line="240" w:lineRule="auto"/>
        <w:jc w:val="both"/>
        <w:rPr>
          <w:rFonts w:ascii="Open Sans" w:eastAsia="Times New Roman" w:hAnsi="Open Sans" w:cs="Open Sans"/>
          <w:i/>
          <w:iCs/>
          <w:sz w:val="20"/>
          <w:szCs w:val="20"/>
          <w:lang w:eastAsia="pl-PL"/>
        </w:rPr>
      </w:pPr>
      <w:r w:rsidRPr="004C1542">
        <w:rPr>
          <w:rFonts w:ascii="Open Sans" w:eastAsia="Times New Roman" w:hAnsi="Open Sans" w:cs="Open Sans"/>
          <w:i/>
          <w:iCs/>
          <w:sz w:val="20"/>
          <w:szCs w:val="20"/>
          <w:lang w:eastAsia="pl-PL"/>
        </w:rPr>
        <w:t xml:space="preserve">Ilość otrzymanych punktów za całe zadanie jest sumą punktów otrzymanych z wyliczenia ilości punktów za cenę (pkt 1), termin dostawy (pkt 2) i udzieloną gwarancję przebiegu (pkt 3). </w:t>
      </w:r>
    </w:p>
    <w:p w14:paraId="69E7F821" w14:textId="77777777" w:rsidR="004C1542" w:rsidRDefault="004C1542"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07E1F7F7" w14:textId="77777777" w:rsidR="004C1542" w:rsidRPr="00557C4B" w:rsidRDefault="004C1542"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52FBDF8B"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2A5B19">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468B9ADB"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 xml:space="preserve">Kwota zabezpieczenia wynosi </w:t>
      </w:r>
      <w:r w:rsidR="00E9154A">
        <w:rPr>
          <w:rFonts w:ascii="Open Sans" w:eastAsia="Times New Roman" w:hAnsi="Open Sans" w:cs="Open Sans"/>
          <w:i/>
          <w:iCs/>
          <w:color w:val="000000"/>
          <w:sz w:val="20"/>
          <w:szCs w:val="20"/>
          <w:lang w:eastAsia="pl-PL"/>
        </w:rPr>
        <w:t>3</w:t>
      </w:r>
      <w:r w:rsidRPr="00CC6DAB">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926B" w14:textId="77777777" w:rsidR="00D337C0" w:rsidRDefault="00D337C0" w:rsidP="00ED6C3D">
      <w:pPr>
        <w:spacing w:after="0" w:line="240" w:lineRule="auto"/>
      </w:pPr>
      <w:r>
        <w:separator/>
      </w:r>
    </w:p>
  </w:endnote>
  <w:endnote w:type="continuationSeparator" w:id="0">
    <w:p w14:paraId="44F26814" w14:textId="77777777" w:rsidR="00D337C0" w:rsidRDefault="00D337C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8432" w14:textId="77777777" w:rsidR="00D337C0" w:rsidRDefault="00D337C0" w:rsidP="00ED6C3D">
      <w:pPr>
        <w:spacing w:after="0" w:line="240" w:lineRule="auto"/>
      </w:pPr>
      <w:r>
        <w:separator/>
      </w:r>
    </w:p>
  </w:footnote>
  <w:footnote w:type="continuationSeparator" w:id="0">
    <w:p w14:paraId="1BF82F66" w14:textId="77777777" w:rsidR="00D337C0" w:rsidRDefault="00D337C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1162"/>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330"/>
    <w:rsid w:val="001D7EF9"/>
    <w:rsid w:val="001E2A71"/>
    <w:rsid w:val="001E33B8"/>
    <w:rsid w:val="001E4122"/>
    <w:rsid w:val="001E5DAA"/>
    <w:rsid w:val="001E6677"/>
    <w:rsid w:val="001E716A"/>
    <w:rsid w:val="001F0ACA"/>
    <w:rsid w:val="001F5D75"/>
    <w:rsid w:val="0020271C"/>
    <w:rsid w:val="00204D2A"/>
    <w:rsid w:val="002070B6"/>
    <w:rsid w:val="002128F8"/>
    <w:rsid w:val="002153C9"/>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0D13"/>
    <w:rsid w:val="002511E9"/>
    <w:rsid w:val="00261DD9"/>
    <w:rsid w:val="00262C93"/>
    <w:rsid w:val="00263716"/>
    <w:rsid w:val="00267B52"/>
    <w:rsid w:val="00274E41"/>
    <w:rsid w:val="00281FBB"/>
    <w:rsid w:val="00287173"/>
    <w:rsid w:val="00292014"/>
    <w:rsid w:val="002951CB"/>
    <w:rsid w:val="00296BCA"/>
    <w:rsid w:val="002A1C1C"/>
    <w:rsid w:val="002A280C"/>
    <w:rsid w:val="002A5B19"/>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06451"/>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317"/>
    <w:rsid w:val="00375991"/>
    <w:rsid w:val="00376834"/>
    <w:rsid w:val="00376D5C"/>
    <w:rsid w:val="003807E5"/>
    <w:rsid w:val="003824B8"/>
    <w:rsid w:val="00383D3A"/>
    <w:rsid w:val="003848F2"/>
    <w:rsid w:val="00384918"/>
    <w:rsid w:val="00384EC2"/>
    <w:rsid w:val="003875C9"/>
    <w:rsid w:val="0039105D"/>
    <w:rsid w:val="00393A34"/>
    <w:rsid w:val="0039471A"/>
    <w:rsid w:val="003959B0"/>
    <w:rsid w:val="003962DB"/>
    <w:rsid w:val="003A7076"/>
    <w:rsid w:val="003B0E0A"/>
    <w:rsid w:val="003B2034"/>
    <w:rsid w:val="003B3A9A"/>
    <w:rsid w:val="003B497C"/>
    <w:rsid w:val="003B51F8"/>
    <w:rsid w:val="003B765A"/>
    <w:rsid w:val="003B7B07"/>
    <w:rsid w:val="003B7E59"/>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4072"/>
    <w:rsid w:val="00446F17"/>
    <w:rsid w:val="00455F21"/>
    <w:rsid w:val="004652C3"/>
    <w:rsid w:val="00471E26"/>
    <w:rsid w:val="00473E62"/>
    <w:rsid w:val="0047613E"/>
    <w:rsid w:val="0047731C"/>
    <w:rsid w:val="00482B1A"/>
    <w:rsid w:val="00482DFD"/>
    <w:rsid w:val="004868F4"/>
    <w:rsid w:val="00486BA4"/>
    <w:rsid w:val="004909BF"/>
    <w:rsid w:val="004920E1"/>
    <w:rsid w:val="004928A0"/>
    <w:rsid w:val="00496D80"/>
    <w:rsid w:val="0049721B"/>
    <w:rsid w:val="004A51D9"/>
    <w:rsid w:val="004A5539"/>
    <w:rsid w:val="004B4A12"/>
    <w:rsid w:val="004B5E73"/>
    <w:rsid w:val="004C1542"/>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21D4"/>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6CC"/>
    <w:rsid w:val="00725FB8"/>
    <w:rsid w:val="00727413"/>
    <w:rsid w:val="0073100C"/>
    <w:rsid w:val="007347E5"/>
    <w:rsid w:val="007355AD"/>
    <w:rsid w:val="00737A6F"/>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1C3"/>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460A2"/>
    <w:rsid w:val="008505AA"/>
    <w:rsid w:val="00850803"/>
    <w:rsid w:val="008516F8"/>
    <w:rsid w:val="008566C0"/>
    <w:rsid w:val="008628D4"/>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41D5"/>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582F"/>
    <w:rsid w:val="00AA6C7C"/>
    <w:rsid w:val="00AA725F"/>
    <w:rsid w:val="00AA79A8"/>
    <w:rsid w:val="00AB0485"/>
    <w:rsid w:val="00AB2828"/>
    <w:rsid w:val="00AB6293"/>
    <w:rsid w:val="00AC6697"/>
    <w:rsid w:val="00AC6E7B"/>
    <w:rsid w:val="00AC7F25"/>
    <w:rsid w:val="00AD175A"/>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340B2"/>
    <w:rsid w:val="00B425F7"/>
    <w:rsid w:val="00B44C7E"/>
    <w:rsid w:val="00B466B5"/>
    <w:rsid w:val="00B52F29"/>
    <w:rsid w:val="00B5485D"/>
    <w:rsid w:val="00B57FF9"/>
    <w:rsid w:val="00B6074A"/>
    <w:rsid w:val="00B62515"/>
    <w:rsid w:val="00B63EC0"/>
    <w:rsid w:val="00B644A5"/>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5367"/>
    <w:rsid w:val="00BB60B3"/>
    <w:rsid w:val="00BB6C28"/>
    <w:rsid w:val="00BB6E1D"/>
    <w:rsid w:val="00BB7420"/>
    <w:rsid w:val="00BC1F5A"/>
    <w:rsid w:val="00BC4869"/>
    <w:rsid w:val="00BD04C4"/>
    <w:rsid w:val="00BD386D"/>
    <w:rsid w:val="00BD62DD"/>
    <w:rsid w:val="00BD6F5B"/>
    <w:rsid w:val="00BE5178"/>
    <w:rsid w:val="00BF00E9"/>
    <w:rsid w:val="00BF78D7"/>
    <w:rsid w:val="00C00E56"/>
    <w:rsid w:val="00C07FC3"/>
    <w:rsid w:val="00C10939"/>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B6588"/>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CF3CAC"/>
    <w:rsid w:val="00D013F7"/>
    <w:rsid w:val="00D0294F"/>
    <w:rsid w:val="00D04777"/>
    <w:rsid w:val="00D051B1"/>
    <w:rsid w:val="00D06C65"/>
    <w:rsid w:val="00D06E6B"/>
    <w:rsid w:val="00D11848"/>
    <w:rsid w:val="00D11D08"/>
    <w:rsid w:val="00D1486E"/>
    <w:rsid w:val="00D15683"/>
    <w:rsid w:val="00D160F4"/>
    <w:rsid w:val="00D16E04"/>
    <w:rsid w:val="00D17A52"/>
    <w:rsid w:val="00D215B9"/>
    <w:rsid w:val="00D243FF"/>
    <w:rsid w:val="00D24EC0"/>
    <w:rsid w:val="00D2640F"/>
    <w:rsid w:val="00D337C0"/>
    <w:rsid w:val="00D339B8"/>
    <w:rsid w:val="00D45A5C"/>
    <w:rsid w:val="00D46207"/>
    <w:rsid w:val="00D46DE1"/>
    <w:rsid w:val="00D50223"/>
    <w:rsid w:val="00D502F1"/>
    <w:rsid w:val="00D51200"/>
    <w:rsid w:val="00D53204"/>
    <w:rsid w:val="00D53A33"/>
    <w:rsid w:val="00D543DA"/>
    <w:rsid w:val="00D54B72"/>
    <w:rsid w:val="00D56A33"/>
    <w:rsid w:val="00D57636"/>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1B37"/>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54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421"/>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D2350"/>
    <w:rsid w:val="00FE0BAA"/>
    <w:rsid w:val="00FE1F62"/>
    <w:rsid w:val="00FE2862"/>
    <w:rsid w:val="00FE2F6C"/>
    <w:rsid w:val="00FF0C2E"/>
    <w:rsid w:val="00FF0C74"/>
    <w:rsid w:val="00FF17D7"/>
    <w:rsid w:val="00FF26E0"/>
    <w:rsid w:val="00FF3355"/>
    <w:rsid w:val="00FF4C67"/>
    <w:rsid w:val="00FF5D3D"/>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14</Pages>
  <Words>5432</Words>
  <Characters>32592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28</cp:revision>
  <cp:lastPrinted>2023-04-13T07:56:00Z</cp:lastPrinted>
  <dcterms:created xsi:type="dcterms:W3CDTF">2023-09-15T03:58:00Z</dcterms:created>
  <dcterms:modified xsi:type="dcterms:W3CDTF">2023-09-17T10:35:00Z</dcterms:modified>
</cp:coreProperties>
</file>