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A53C" w14:textId="77777777" w:rsidR="00B76302" w:rsidRPr="0070375F" w:rsidRDefault="00B76302" w:rsidP="00B76302">
      <w:pPr>
        <w:pStyle w:val="Akapitzlist"/>
        <w:spacing w:after="0"/>
        <w:ind w:left="0"/>
        <w:jc w:val="center"/>
        <w:rPr>
          <w:rFonts w:cstheme="minorHAnsi"/>
          <w:b/>
          <w:sz w:val="20"/>
          <w:szCs w:val="20"/>
        </w:rPr>
      </w:pPr>
    </w:p>
    <w:p w14:paraId="0825D647" w14:textId="77777777" w:rsidR="00B76302" w:rsidRPr="0070375F" w:rsidRDefault="00B76302" w:rsidP="00B76302">
      <w:pPr>
        <w:ind w:right="284"/>
        <w:rPr>
          <w:rFonts w:cstheme="minorHAnsi"/>
          <w:i/>
          <w:sz w:val="20"/>
          <w:szCs w:val="20"/>
        </w:rPr>
      </w:pPr>
      <w:r w:rsidRPr="0070375F">
        <w:rPr>
          <w:rFonts w:cstheme="minorHAnsi"/>
          <w:i/>
          <w:sz w:val="20"/>
          <w:szCs w:val="20"/>
        </w:rPr>
        <w:t>………………………………………….</w:t>
      </w:r>
    </w:p>
    <w:p w14:paraId="2E9A0F6D" w14:textId="77777777" w:rsidR="00B76302" w:rsidRPr="0070375F" w:rsidRDefault="00B76302" w:rsidP="00B76302">
      <w:pPr>
        <w:ind w:right="284"/>
        <w:rPr>
          <w:rFonts w:cstheme="minorHAnsi"/>
          <w:i/>
          <w:sz w:val="20"/>
          <w:szCs w:val="20"/>
        </w:rPr>
      </w:pPr>
      <w:r w:rsidRPr="0070375F">
        <w:rPr>
          <w:rFonts w:cstheme="minorHAnsi"/>
          <w:i/>
          <w:sz w:val="20"/>
          <w:szCs w:val="20"/>
        </w:rPr>
        <w:t>(Wykonawca)</w:t>
      </w:r>
    </w:p>
    <w:p w14:paraId="28B18481" w14:textId="77777777" w:rsidR="001E0C04" w:rsidRDefault="001E0C04">
      <w:pPr>
        <w:pStyle w:val="Akapitzlist"/>
        <w:spacing w:after="0"/>
        <w:ind w:left="0"/>
        <w:rPr>
          <w:rFonts w:cs="Times New Roman"/>
          <w:b/>
          <w:sz w:val="20"/>
          <w:szCs w:val="20"/>
        </w:rPr>
      </w:pPr>
    </w:p>
    <w:p w14:paraId="3D350C00" w14:textId="226CF7EB" w:rsidR="001E0C04" w:rsidRPr="00B76302" w:rsidRDefault="007971B0">
      <w:pPr>
        <w:pStyle w:val="Akapitzlist"/>
        <w:spacing w:after="0"/>
        <w:ind w:left="0"/>
        <w:jc w:val="center"/>
        <w:rPr>
          <w:rFonts w:cs="Times New Roman"/>
          <w:b/>
          <w:bCs/>
          <w:sz w:val="20"/>
          <w:szCs w:val="20"/>
        </w:rPr>
      </w:pPr>
      <w:r w:rsidRPr="00B76302">
        <w:rPr>
          <w:rFonts w:cs="Times New Roman"/>
          <w:b/>
          <w:bCs/>
          <w:sz w:val="20"/>
          <w:szCs w:val="20"/>
        </w:rPr>
        <w:t xml:space="preserve">Szczegółowy opis techniczny przedmiotu zamówienia </w:t>
      </w:r>
      <w:r w:rsidRPr="00B76302">
        <w:rPr>
          <w:rFonts w:cs="Times New Roman"/>
          <w:b/>
          <w:bCs/>
          <w:sz w:val="20"/>
          <w:szCs w:val="20"/>
          <w:u w:val="single"/>
        </w:rPr>
        <w:t>Część I</w:t>
      </w:r>
      <w:r w:rsidR="00AB445F" w:rsidRPr="00B76302">
        <w:rPr>
          <w:rFonts w:cs="Times New Roman"/>
          <w:b/>
          <w:bCs/>
          <w:sz w:val="20"/>
          <w:szCs w:val="20"/>
          <w:u w:val="single"/>
        </w:rPr>
        <w:t>V</w:t>
      </w:r>
      <w:r w:rsidRPr="00B76302">
        <w:rPr>
          <w:rFonts w:cs="Times New Roman"/>
          <w:b/>
          <w:bCs/>
          <w:sz w:val="20"/>
          <w:szCs w:val="20"/>
        </w:rPr>
        <w:t xml:space="preserve"> – FORMULARZ OFEROWANEGO SPRZĘTU</w:t>
      </w:r>
    </w:p>
    <w:p w14:paraId="371A2C40" w14:textId="77777777" w:rsidR="001E0C04" w:rsidRPr="00B76302" w:rsidRDefault="001E0C04">
      <w:pPr>
        <w:rPr>
          <w:sz w:val="20"/>
          <w:szCs w:val="20"/>
        </w:rPr>
      </w:pPr>
    </w:p>
    <w:p w14:paraId="0954FABE" w14:textId="0C6EB9FE" w:rsidR="001E0C04" w:rsidRPr="00B76302" w:rsidRDefault="001E0C04">
      <w:pPr>
        <w:pStyle w:val="Akapitzlist"/>
        <w:ind w:left="142"/>
        <w:rPr>
          <w:rFonts w:cs="Times New Roman"/>
          <w:b/>
          <w:bCs/>
          <w:sz w:val="20"/>
          <w:szCs w:val="20"/>
        </w:rPr>
      </w:pPr>
    </w:p>
    <w:p w14:paraId="6C191DE3" w14:textId="345C808B" w:rsidR="004A3A3F" w:rsidRPr="00B76302" w:rsidRDefault="004A3A3F" w:rsidP="00B62F7C">
      <w:pPr>
        <w:pStyle w:val="Akapitzlist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Program </w:t>
      </w:r>
      <w:proofErr w:type="spellStart"/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>Cartall</w:t>
      </w:r>
      <w:proofErr w:type="spellEnd"/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TRUCK EDU lub równoważny – 10 szt.</w:t>
      </w:r>
    </w:p>
    <w:p w14:paraId="0FC3DD88" w14:textId="77777777" w:rsidR="00F71344" w:rsidRPr="00B76302" w:rsidRDefault="00F71344" w:rsidP="00F71344">
      <w:pPr>
        <w:pStyle w:val="Akapitzlist"/>
        <w:spacing w:after="75" w:line="240" w:lineRule="auto"/>
        <w:ind w:left="0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68166213" w14:textId="75C39804" w:rsidR="00F71344" w:rsidRPr="00B76302" w:rsidRDefault="00F71344" w:rsidP="00F71344">
      <w:pPr>
        <w:pStyle w:val="Akapitzlist"/>
        <w:spacing w:after="75" w:line="240" w:lineRule="auto"/>
        <w:ind w:left="0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przypadku zaoferowania programu równoważnego: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69C0" w:rsidRPr="00B76302" w14:paraId="2C0ADAA5" w14:textId="77777777" w:rsidTr="00FD69C0">
        <w:tc>
          <w:tcPr>
            <w:tcW w:w="4664" w:type="dxa"/>
          </w:tcPr>
          <w:p w14:paraId="2380092E" w14:textId="77777777" w:rsidR="00FD69C0" w:rsidRPr="00B76302" w:rsidRDefault="00FD69C0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4665" w:type="dxa"/>
          </w:tcPr>
          <w:p w14:paraId="01ED0175" w14:textId="6AD59123" w:rsidR="00FD69C0" w:rsidRPr="00B76302" w:rsidRDefault="00FD69C0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cech funkcjonalnych</w:t>
            </w:r>
          </w:p>
        </w:tc>
        <w:tc>
          <w:tcPr>
            <w:tcW w:w="4665" w:type="dxa"/>
          </w:tcPr>
          <w:p w14:paraId="1B119020" w14:textId="77777777" w:rsidR="00FD69C0" w:rsidRPr="00B76302" w:rsidRDefault="00FD69C0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Zgodność z ppkt. 4 </w:t>
            </w:r>
            <w:r w:rsidRPr="00B76302">
              <w:rPr>
                <w:rFonts w:cs="Times New Roman"/>
                <w:b/>
                <w:bCs/>
                <w:sz w:val="20"/>
                <w:szCs w:val="20"/>
              </w:rPr>
              <w:t>RÓWNOWAŻNOŚĆ</w:t>
            </w: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tak/nie</w:t>
            </w:r>
          </w:p>
          <w:p w14:paraId="7C5D8D83" w14:textId="214C9E3C" w:rsidR="00F71344" w:rsidRPr="00B76302" w:rsidRDefault="00F71344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69C0" w:rsidRPr="00B76302" w14:paraId="54B2E9C2" w14:textId="77777777" w:rsidTr="00FD69C0">
        <w:tc>
          <w:tcPr>
            <w:tcW w:w="4664" w:type="dxa"/>
          </w:tcPr>
          <w:p w14:paraId="3003E618" w14:textId="77777777" w:rsidR="00FD69C0" w:rsidRPr="00B76302" w:rsidRDefault="00FD69C0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</w:tcPr>
          <w:p w14:paraId="209EFE16" w14:textId="77777777" w:rsidR="00FD69C0" w:rsidRPr="00B76302" w:rsidRDefault="00FD69C0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</w:tcPr>
          <w:p w14:paraId="0E8663E4" w14:textId="771DF0AA" w:rsidR="00FD69C0" w:rsidRPr="00B76302" w:rsidRDefault="00FD69C0" w:rsidP="001B27F4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</w:tbl>
    <w:p w14:paraId="2BF8393A" w14:textId="77777777" w:rsidR="00FD69C0" w:rsidRPr="00B76302" w:rsidRDefault="00FD69C0" w:rsidP="00FD69C0">
      <w:p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7287DA7C" w14:textId="77777777" w:rsidR="00F71344" w:rsidRPr="00B76302" w:rsidRDefault="00F71344" w:rsidP="00FD69C0">
      <w:p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5570F9E1" w14:textId="06C14ACB" w:rsidR="00322FBE" w:rsidRPr="00B76302" w:rsidRDefault="00FD69C0" w:rsidP="00FD69C0">
      <w:pPr>
        <w:pStyle w:val="Akapitzlist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Oprogramowanie </w:t>
      </w:r>
      <w:proofErr w:type="spellStart"/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>Gardenphilia</w:t>
      </w:r>
      <w:proofErr w:type="spellEnd"/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wersja edukacyjna dla 15 stanowisk</w:t>
      </w:r>
      <w:r w:rsidR="00D76B74"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lub równoważny</w:t>
      </w:r>
    </w:p>
    <w:p w14:paraId="60D5ABF9" w14:textId="77777777" w:rsidR="00F71344" w:rsidRPr="00B76302" w:rsidRDefault="00F71344" w:rsidP="00F71344">
      <w:p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44DD1FFB" w14:textId="77777777" w:rsidR="00F71344" w:rsidRPr="00B76302" w:rsidRDefault="00F71344" w:rsidP="00F71344">
      <w:pPr>
        <w:pStyle w:val="Akapitzlist"/>
        <w:spacing w:after="75" w:line="240" w:lineRule="auto"/>
        <w:ind w:left="0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przypadku zaoferowania programu równoważnego: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69C0" w:rsidRPr="00B76302" w14:paraId="702D2FFD" w14:textId="77777777" w:rsidTr="000B4233">
        <w:tc>
          <w:tcPr>
            <w:tcW w:w="4664" w:type="dxa"/>
          </w:tcPr>
          <w:p w14:paraId="52E27EC5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4665" w:type="dxa"/>
          </w:tcPr>
          <w:p w14:paraId="5626342A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cech funkcjonalnych</w:t>
            </w:r>
          </w:p>
        </w:tc>
        <w:tc>
          <w:tcPr>
            <w:tcW w:w="4665" w:type="dxa"/>
          </w:tcPr>
          <w:p w14:paraId="12AC1EFB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Zgodność z ppkt. 4 </w:t>
            </w:r>
            <w:r w:rsidRPr="00B76302">
              <w:rPr>
                <w:rFonts w:cs="Times New Roman"/>
                <w:b/>
                <w:bCs/>
                <w:sz w:val="20"/>
                <w:szCs w:val="20"/>
              </w:rPr>
              <w:t>RÓWNOWAŻNOŚĆ</w:t>
            </w: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tak/nie</w:t>
            </w:r>
          </w:p>
        </w:tc>
      </w:tr>
      <w:tr w:rsidR="00FD69C0" w:rsidRPr="00B76302" w14:paraId="083777B9" w14:textId="77777777" w:rsidTr="000B4233">
        <w:tc>
          <w:tcPr>
            <w:tcW w:w="4664" w:type="dxa"/>
          </w:tcPr>
          <w:p w14:paraId="1096EE94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</w:tcPr>
          <w:p w14:paraId="094B6C60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</w:tcPr>
          <w:p w14:paraId="2D8952BA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</w:tbl>
    <w:p w14:paraId="5EC2E0AB" w14:textId="77777777" w:rsidR="00FD69C0" w:rsidRPr="00B76302" w:rsidRDefault="00FD69C0" w:rsidP="00FD69C0">
      <w:pPr>
        <w:pStyle w:val="Akapitzlist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DE03E4D" w14:textId="77777777" w:rsidR="00FD69C0" w:rsidRPr="00B76302" w:rsidRDefault="00FD69C0" w:rsidP="00FD69C0">
      <w:p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7220CA5B" w14:textId="25769FEC" w:rsidR="00F71344" w:rsidRPr="00B76302" w:rsidRDefault="00FD69C0" w:rsidP="00F71344">
      <w:pPr>
        <w:pStyle w:val="Akapitzlist"/>
        <w:numPr>
          <w:ilvl w:val="0"/>
          <w:numId w:val="1"/>
        </w:num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lastRenderedPageBreak/>
        <w:t>Oprogramowanie Planista 6.5.22 wersja edukacyjna dla 20 stanowisk</w:t>
      </w:r>
      <w:r w:rsidR="00D76B74"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lub równoważny</w:t>
      </w:r>
    </w:p>
    <w:p w14:paraId="52E1D9AE" w14:textId="77777777" w:rsidR="00F71344" w:rsidRPr="00B76302" w:rsidRDefault="00F71344" w:rsidP="00F71344">
      <w:pPr>
        <w:pStyle w:val="Akapitzlist"/>
        <w:spacing w:after="75" w:line="240" w:lineRule="auto"/>
        <w:ind w:left="0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3D68C3D9" w14:textId="77777777" w:rsidR="00F71344" w:rsidRPr="00B76302" w:rsidRDefault="00F71344" w:rsidP="00F71344">
      <w:pPr>
        <w:pStyle w:val="Akapitzlist"/>
        <w:spacing w:after="75" w:line="240" w:lineRule="auto"/>
        <w:ind w:left="0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 przypadku zaoferowania programu równoważnego: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FD69C0" w:rsidRPr="00B76302" w14:paraId="1B2298DC" w14:textId="77777777" w:rsidTr="000B4233">
        <w:tc>
          <w:tcPr>
            <w:tcW w:w="4664" w:type="dxa"/>
          </w:tcPr>
          <w:p w14:paraId="52F8B8FE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programu</w:t>
            </w:r>
          </w:p>
        </w:tc>
        <w:tc>
          <w:tcPr>
            <w:tcW w:w="4665" w:type="dxa"/>
          </w:tcPr>
          <w:p w14:paraId="2ADDB860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Opis cech funkcjonalnych</w:t>
            </w:r>
          </w:p>
        </w:tc>
        <w:tc>
          <w:tcPr>
            <w:tcW w:w="4665" w:type="dxa"/>
          </w:tcPr>
          <w:p w14:paraId="16F6F506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Zgodność z ppkt. 4 </w:t>
            </w:r>
            <w:r w:rsidRPr="00B76302">
              <w:rPr>
                <w:rFonts w:cs="Times New Roman"/>
                <w:b/>
                <w:bCs/>
                <w:sz w:val="20"/>
                <w:szCs w:val="20"/>
              </w:rPr>
              <w:t>RÓWNOWAŻNOŚĆ</w:t>
            </w: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tak/nie</w:t>
            </w:r>
          </w:p>
        </w:tc>
      </w:tr>
      <w:tr w:rsidR="00FD69C0" w:rsidRPr="00B76302" w14:paraId="7DB9F8FF" w14:textId="77777777" w:rsidTr="000B4233">
        <w:tc>
          <w:tcPr>
            <w:tcW w:w="4664" w:type="dxa"/>
          </w:tcPr>
          <w:p w14:paraId="194EF3CF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</w:tcPr>
          <w:p w14:paraId="04EC1568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65" w:type="dxa"/>
          </w:tcPr>
          <w:p w14:paraId="6FFDFC03" w14:textId="77777777" w:rsidR="00FD69C0" w:rsidRPr="00B76302" w:rsidRDefault="00FD69C0" w:rsidP="000B4233">
            <w:pPr>
              <w:spacing w:after="75" w:line="240" w:lineRule="auto"/>
              <w:textAlignment w:val="baseline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7630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TAK/NIE</w:t>
            </w:r>
          </w:p>
        </w:tc>
      </w:tr>
    </w:tbl>
    <w:p w14:paraId="50C42823" w14:textId="3ED0A29F" w:rsidR="001E0C04" w:rsidRPr="00B76302" w:rsidRDefault="001E0C04">
      <w:pPr>
        <w:pStyle w:val="Akapitzlist"/>
        <w:ind w:left="142"/>
        <w:rPr>
          <w:rFonts w:cs="Times New Roman"/>
          <w:b/>
          <w:bCs/>
          <w:sz w:val="20"/>
          <w:szCs w:val="20"/>
        </w:rPr>
      </w:pPr>
    </w:p>
    <w:p w14:paraId="64FB8739" w14:textId="77777777" w:rsidR="001545F0" w:rsidRPr="00B76302" w:rsidRDefault="001545F0">
      <w:pPr>
        <w:pStyle w:val="Akapitzlist"/>
        <w:ind w:left="142"/>
        <w:rPr>
          <w:rFonts w:cs="Times New Roman"/>
          <w:b/>
          <w:bCs/>
          <w:sz w:val="20"/>
          <w:szCs w:val="20"/>
        </w:rPr>
      </w:pPr>
    </w:p>
    <w:p w14:paraId="772E3B4A" w14:textId="77777777" w:rsidR="00F71344" w:rsidRPr="00B76302" w:rsidRDefault="00F71344">
      <w:pPr>
        <w:pStyle w:val="Akapitzlist"/>
        <w:ind w:left="142"/>
        <w:rPr>
          <w:rFonts w:cs="Times New Roman"/>
          <w:b/>
          <w:bCs/>
          <w:sz w:val="20"/>
          <w:szCs w:val="20"/>
        </w:rPr>
      </w:pPr>
    </w:p>
    <w:p w14:paraId="43A56F75" w14:textId="77777777" w:rsidR="00F71344" w:rsidRPr="00B76302" w:rsidRDefault="00F71344">
      <w:pPr>
        <w:pStyle w:val="Akapitzlist"/>
        <w:ind w:left="142"/>
        <w:rPr>
          <w:rFonts w:cs="Times New Roman"/>
          <w:b/>
          <w:bCs/>
          <w:sz w:val="20"/>
          <w:szCs w:val="20"/>
        </w:rPr>
      </w:pPr>
    </w:p>
    <w:p w14:paraId="3CB1B2CC" w14:textId="77777777" w:rsidR="00F71344" w:rsidRPr="00B76302" w:rsidRDefault="00F71344">
      <w:pPr>
        <w:pStyle w:val="Akapitzlist"/>
        <w:ind w:left="142"/>
        <w:rPr>
          <w:rFonts w:cs="Times New Roman"/>
          <w:b/>
          <w:bCs/>
          <w:sz w:val="20"/>
          <w:szCs w:val="20"/>
        </w:rPr>
      </w:pPr>
    </w:p>
    <w:p w14:paraId="104495FE" w14:textId="77777777" w:rsidR="001E0C04" w:rsidRPr="00B76302" w:rsidRDefault="007971B0">
      <w:pPr>
        <w:pStyle w:val="Akapitzlist"/>
        <w:numPr>
          <w:ilvl w:val="0"/>
          <w:numId w:val="1"/>
        </w:numPr>
        <w:ind w:left="142"/>
        <w:rPr>
          <w:rFonts w:cs="Times New Roman"/>
          <w:b/>
          <w:bCs/>
          <w:sz w:val="20"/>
          <w:szCs w:val="20"/>
        </w:rPr>
      </w:pPr>
      <w:r w:rsidRPr="00B76302">
        <w:rPr>
          <w:rFonts w:cs="Times New Roman"/>
          <w:b/>
          <w:bCs/>
          <w:sz w:val="20"/>
          <w:szCs w:val="20"/>
        </w:rPr>
        <w:t>RÓWNOWAŻNOŚĆ:</w:t>
      </w:r>
    </w:p>
    <w:p w14:paraId="1CA95CC9" w14:textId="0D0AEEE6" w:rsidR="004A3A3F" w:rsidRPr="00B76302" w:rsidRDefault="004A3A3F" w:rsidP="004A3A3F">
      <w:pPr>
        <w:spacing w:after="75" w:line="240" w:lineRule="auto"/>
        <w:textAlignment w:val="baseline"/>
        <w:outlineLvl w:val="1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Program </w:t>
      </w:r>
      <w:proofErr w:type="spellStart"/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>Cartall</w:t>
      </w:r>
      <w:proofErr w:type="spellEnd"/>
      <w:r w:rsidRPr="00B76302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TRUCK EDU opis równoważności</w:t>
      </w:r>
    </w:p>
    <w:p w14:paraId="7D4E0F56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beforeAutospacing="1"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bdr w:val="none" w:sz="0" w:space="0" w:color="auto" w:frame="1"/>
          <w:lang w:eastAsia="pl-PL"/>
        </w:rPr>
        <w:t>Wyszukiwanie dowolnego adresu</w:t>
      </w:r>
    </w:p>
    <w:p w14:paraId="618655A5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bdr w:val="none" w:sz="0" w:space="0" w:color="auto" w:frame="1"/>
          <w:lang w:eastAsia="pl-PL"/>
        </w:rPr>
        <w:t>Obliczanie tras</w:t>
      </w:r>
    </w:p>
    <w:p w14:paraId="03C1E7C0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bdr w:val="none" w:sz="0" w:space="0" w:color="auto" w:frame="1"/>
          <w:lang w:eastAsia="pl-PL"/>
        </w:rPr>
        <w:t>Blokada drogi, omijanie obszaru</w:t>
      </w:r>
    </w:p>
    <w:p w14:paraId="3D6DC012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bdr w:val="none" w:sz="0" w:space="0" w:color="auto" w:frame="1"/>
          <w:lang w:eastAsia="pl-PL"/>
        </w:rPr>
        <w:t>Moduł GPS</w:t>
      </w:r>
    </w:p>
    <w:p w14:paraId="48166E76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prowadzenie ewidencji kierowców i pojazdów (możliwość zdefiniowania prędkości przejazdu dla różnych rodzajów dróg, zużycia paliwa itp.);</w:t>
      </w:r>
    </w:p>
    <w:p w14:paraId="67C662D9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możliwość zapisywania poszczególnych widoków mapy, pozwalająca na późniejsze analizy;</w:t>
      </w:r>
    </w:p>
    <w:p w14:paraId="6808B15B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możliwość robienia dowolnych wydruków oraz zrzutów ekranowych;</w:t>
      </w:r>
    </w:p>
    <w:p w14:paraId="5F672DCD" w14:textId="77777777" w:rsidR="00D44B0C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opis trasy ze szczegółowymi wskazówkami jak pokonywać poszczególne odcinki trasy;</w:t>
      </w:r>
    </w:p>
    <w:p w14:paraId="20BA6DFD" w14:textId="25D7B5D3" w:rsidR="004A3A3F" w:rsidRPr="00B76302" w:rsidRDefault="004A3A3F" w:rsidP="00D44B0C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możliwość ustawienia bazy startowej i bazy docelowej.</w:t>
      </w:r>
    </w:p>
    <w:p w14:paraId="0864A930" w14:textId="77777777" w:rsidR="004A3A3F" w:rsidRPr="00B76302" w:rsidRDefault="004A3A3F" w:rsidP="004A3A3F">
      <w:pPr>
        <w:pStyle w:val="Akapitzlist"/>
        <w:numPr>
          <w:ilvl w:val="0"/>
          <w:numId w:val="28"/>
        </w:numPr>
        <w:suppressAutoHyphens w:val="0"/>
        <w:spacing w:before="100" w:beforeAutospacing="1"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cs="Times New Roman"/>
          <w:sz w:val="20"/>
          <w:szCs w:val="20"/>
        </w:rPr>
        <w:t xml:space="preserve">oprogramowanie równoważne musi zapewniać co najmniej pełną funkcjonalność oprogramowania w stosunku, do którego jest wskazane przez Wykonawcę jako równoważne i posiadać co najmniej takie same formaty plików, parametry techniczne i funkcjonalne; </w:t>
      </w:r>
    </w:p>
    <w:p w14:paraId="0DEFCF17" w14:textId="77777777" w:rsidR="00FD69C0" w:rsidRPr="00B76302" w:rsidRDefault="004A3A3F" w:rsidP="004A3A3F">
      <w:pPr>
        <w:pStyle w:val="Akapitzlist"/>
        <w:numPr>
          <w:ilvl w:val="0"/>
          <w:numId w:val="28"/>
        </w:numPr>
        <w:suppressAutoHyphens w:val="0"/>
        <w:spacing w:before="100" w:beforeAutospacing="1"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cs="Times New Roman"/>
          <w:sz w:val="20"/>
          <w:szCs w:val="20"/>
        </w:rPr>
        <w:t xml:space="preserve">warunki licencji oprogramowania równoważnego w każdym aspekcie licencjonowania muszą być nie gorsze niż licencje oprogramowania określonego powyżej. </w:t>
      </w:r>
    </w:p>
    <w:p w14:paraId="60B8C072" w14:textId="77777777" w:rsidR="00FD69C0" w:rsidRPr="00B76302" w:rsidRDefault="00FD69C0" w:rsidP="00FD69C0">
      <w:pPr>
        <w:suppressAutoHyphens w:val="0"/>
        <w:spacing w:before="100" w:beforeAutospacing="1" w:after="75" w:line="240" w:lineRule="auto"/>
        <w:ind w:left="360"/>
        <w:jc w:val="both"/>
        <w:textAlignment w:val="baseline"/>
        <w:rPr>
          <w:rFonts w:cs="Times New Roman"/>
          <w:b/>
          <w:sz w:val="20"/>
          <w:szCs w:val="20"/>
        </w:rPr>
      </w:pPr>
      <w:r w:rsidRPr="00B76302">
        <w:rPr>
          <w:rFonts w:cs="Times New Roman"/>
          <w:b/>
          <w:sz w:val="20"/>
          <w:szCs w:val="20"/>
        </w:rPr>
        <w:lastRenderedPageBreak/>
        <w:t xml:space="preserve">Oprogramowanie </w:t>
      </w:r>
      <w:proofErr w:type="spellStart"/>
      <w:r w:rsidRPr="00B76302">
        <w:rPr>
          <w:rFonts w:cs="Times New Roman"/>
          <w:b/>
          <w:sz w:val="20"/>
          <w:szCs w:val="20"/>
        </w:rPr>
        <w:t>Gardenphilia</w:t>
      </w:r>
      <w:proofErr w:type="spellEnd"/>
      <w:r w:rsidRPr="00B76302">
        <w:rPr>
          <w:rFonts w:cs="Times New Roman"/>
          <w:b/>
          <w:sz w:val="20"/>
          <w:szCs w:val="20"/>
        </w:rPr>
        <w:t xml:space="preserve"> opis równoważności</w:t>
      </w:r>
    </w:p>
    <w:p w14:paraId="2ABBCF8C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cs="Times New Roman"/>
          <w:sz w:val="20"/>
          <w:szCs w:val="20"/>
        </w:rPr>
        <w:br/>
      </w:r>
      <w:r w:rsidRPr="00B76302">
        <w:rPr>
          <w:rFonts w:eastAsia="Times New Roman" w:cs="Times New Roman"/>
          <w:sz w:val="20"/>
          <w:szCs w:val="20"/>
          <w:lang w:eastAsia="pl-PL"/>
        </w:rPr>
        <w:t>1)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 xml:space="preserve">płynne wizualizacje 3D </w:t>
      </w:r>
    </w:p>
    <w:p w14:paraId="02160A8D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2)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precyzyjne definiowanie ustawień arkusza, projektu oraz obszaru projektowania (wielkość, skala, siatka, przezroczystość) na dowolnym formacie</w:t>
      </w:r>
    </w:p>
    <w:p w14:paraId="229F6AC9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3)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projektowanie koncepcyjne w rzucie 2D za pomocą rozbudowanych narzędzi rysowania i edycji</w:t>
      </w:r>
    </w:p>
    <w:p w14:paraId="58D07743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4)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import plików 2D: JPG, GIF, PNG jako podkładu, tekstur, symboli lub fotografii</w:t>
      </w:r>
    </w:p>
    <w:p w14:paraId="507C38CE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5)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import plików 3D: COLLADA DAE (</w:t>
      </w:r>
      <w:proofErr w:type="spellStart"/>
      <w:r w:rsidRPr="00B76302">
        <w:rPr>
          <w:rFonts w:eastAsia="Times New Roman" w:cs="Times New Roman"/>
          <w:sz w:val="20"/>
          <w:szCs w:val="20"/>
          <w:lang w:eastAsia="pl-PL"/>
        </w:rPr>
        <w:t>SketchUp</w:t>
      </w:r>
      <w:proofErr w:type="spellEnd"/>
      <w:r w:rsidRPr="00B76302">
        <w:rPr>
          <w:rFonts w:eastAsia="Times New Roman" w:cs="Times New Roman"/>
          <w:sz w:val="20"/>
          <w:szCs w:val="20"/>
          <w:lang w:eastAsia="pl-PL"/>
        </w:rPr>
        <w:t>), 3D Studio, 3DS</w:t>
      </w:r>
    </w:p>
    <w:p w14:paraId="489C0D27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6)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ustawienia widoków 3D w aksonometrii lub perspektywie oraz spacer po ogrodzie</w:t>
      </w:r>
    </w:p>
    <w:p w14:paraId="25B1749A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7)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przekroje widokowe, projekt techniczny oraz wymiarowanie</w:t>
      </w:r>
    </w:p>
    <w:p w14:paraId="23D2ECD9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8)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eksport zestawień użytych w projekcie materiałów i roślin do pliku CSV (</w:t>
      </w:r>
      <w:proofErr w:type="spellStart"/>
      <w:r w:rsidRPr="00B76302">
        <w:rPr>
          <w:rFonts w:eastAsia="Times New Roman" w:cs="Times New Roman"/>
          <w:sz w:val="20"/>
          <w:szCs w:val="20"/>
          <w:lang w:eastAsia="pl-PL"/>
        </w:rPr>
        <w:t>np</w:t>
      </w:r>
      <w:proofErr w:type="spellEnd"/>
      <w:r w:rsidRPr="00B76302">
        <w:rPr>
          <w:rFonts w:eastAsia="Times New Roman" w:cs="Times New Roman"/>
          <w:sz w:val="20"/>
          <w:szCs w:val="20"/>
          <w:lang w:eastAsia="pl-PL"/>
        </w:rPr>
        <w:t xml:space="preserve"> do Excela), kalkulacja kosztów</w:t>
      </w:r>
    </w:p>
    <w:p w14:paraId="6DD4FD72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9)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edycja parametrów roślin w Edytorze, z możliwością tworzenia własnych symboli</w:t>
      </w:r>
    </w:p>
    <w:p w14:paraId="1F0BFC98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10)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łatwe modelowanie ukształtowania terenu</w:t>
      </w:r>
    </w:p>
    <w:p w14:paraId="29E62890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11)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 xml:space="preserve">wybór roślin z biblioteki zawierającej ponad 8000 pozycji według nazwy, rozmiarów oraz wymagań rośliny: </w:t>
      </w:r>
      <w:proofErr w:type="spellStart"/>
      <w:r w:rsidRPr="00B76302">
        <w:rPr>
          <w:rFonts w:eastAsia="Times New Roman" w:cs="Times New Roman"/>
          <w:sz w:val="20"/>
          <w:szCs w:val="20"/>
          <w:lang w:eastAsia="pl-PL"/>
        </w:rPr>
        <w:t>pH</w:t>
      </w:r>
      <w:proofErr w:type="spellEnd"/>
      <w:r w:rsidRPr="00B76302">
        <w:rPr>
          <w:rFonts w:eastAsia="Times New Roman" w:cs="Times New Roman"/>
          <w:sz w:val="20"/>
          <w:szCs w:val="20"/>
          <w:lang w:eastAsia="pl-PL"/>
        </w:rPr>
        <w:t xml:space="preserve"> i wilgotności gleby, nasłonecznienia i strefy klimatycznej</w:t>
      </w:r>
    </w:p>
    <w:p w14:paraId="7DAEF1E1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12)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symulacja wzrostu roślin w ogrodzie</w:t>
      </w:r>
    </w:p>
    <w:p w14:paraId="3B822F36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13)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dynamiczna symulacja zacienienia</w:t>
      </w:r>
    </w:p>
    <w:p w14:paraId="0C5A08CE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14)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płynne zmiany sezonowe wyglądu zieleni generowane w dowolnym momencie roku</w:t>
      </w:r>
    </w:p>
    <w:p w14:paraId="751086AC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15)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rozbudowa programu o dodatkowe elementy wyposażenia i materiały poprzez podłączanie baz producentów i dystrybutorów roślin</w:t>
      </w:r>
    </w:p>
    <w:p w14:paraId="160B6B66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16)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automatyczna aktualizacja programu i bazy danych przez Internet</w:t>
      </w:r>
    </w:p>
    <w:p w14:paraId="4F23E5B8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17)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program dostępny w polskiej wersji językowej</w:t>
      </w:r>
    </w:p>
    <w:p w14:paraId="2F30B07E" w14:textId="77777777" w:rsidR="00FD69C0" w:rsidRPr="00B76302" w:rsidRDefault="00FD69C0" w:rsidP="00FD69C0">
      <w:pPr>
        <w:pStyle w:val="Akapitzlist"/>
        <w:suppressAutoHyphens w:val="0"/>
        <w:spacing w:after="75" w:line="240" w:lineRule="auto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18)</w:t>
      </w:r>
      <w:r w:rsidRPr="00B76302">
        <w:rPr>
          <w:rFonts w:eastAsia="Times New Roman" w:cs="Times New Roman"/>
          <w:sz w:val="20"/>
          <w:szCs w:val="20"/>
          <w:lang w:eastAsia="pl-PL"/>
        </w:rPr>
        <w:tab/>
        <w:t>program pracuje w trybie online jak i offline (bez konieczności dostępu do Internetu)</w:t>
      </w:r>
    </w:p>
    <w:p w14:paraId="79EF93C8" w14:textId="5FF8E9B7" w:rsidR="00FD69C0" w:rsidRPr="00B76302" w:rsidRDefault="00FD69C0" w:rsidP="00FD69C0">
      <w:pPr>
        <w:pStyle w:val="Akapitzlist"/>
        <w:rPr>
          <w:sz w:val="20"/>
          <w:szCs w:val="20"/>
        </w:rPr>
      </w:pPr>
    </w:p>
    <w:p w14:paraId="522E3C0D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modelowanie kosztów związanych z czasem, np. kosztów, kar umownych;</w:t>
      </w:r>
    </w:p>
    <w:p w14:paraId="52C29351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sortowanie i filtrowanie czynności na ekranie z harmonogramem i na wydrukach wg różnych kryteriów w zdefiniowany przez siebie sposób;</w:t>
      </w:r>
    </w:p>
    <w:p w14:paraId="0D9A670A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współpracuje z wieloma programami do kosztorysowania, odczytuje nazwy pozycji kosztorysowych, obmiary, ilości oraz ceny wszystkich nakładów;</w:t>
      </w:r>
    </w:p>
    <w:p w14:paraId="776FB196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przesyłanie do Excela zestawień miesięcznych dla nakładów rzeczowych lub wartości finansowych;</w:t>
      </w:r>
    </w:p>
    <w:p w14:paraId="12FCC839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porównywanie rzeczywistych kosztów robocizny z przewidywanymi w kosztorysie;</w:t>
      </w:r>
    </w:p>
    <w:p w14:paraId="0699E896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lastRenderedPageBreak/>
        <w:t>automatyczne sporządzanie planów w układzie dziennym lub miesięcznym.</w:t>
      </w:r>
    </w:p>
    <w:p w14:paraId="597C669B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przy wykorzystaniu analizy sieciowej (wbudowanej w program) możliwe jest:</w:t>
      </w:r>
    </w:p>
    <w:p w14:paraId="14793748" w14:textId="77777777" w:rsidR="00FD69C0" w:rsidRPr="00B76302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zbudowanie siatki zależności ułatwiającej skontrolowanie logiki układu całego przedsięwzięcia, następstw i równoległości działań;</w:t>
      </w:r>
    </w:p>
    <w:p w14:paraId="094A7903" w14:textId="77777777" w:rsidR="00FD69C0" w:rsidRPr="00B76302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wyznaczanie minimalnego czasu trwania przedsięwzięcia, ścieżki krytycznej i rezerw czasu dla poszczególnych czynności.</w:t>
      </w:r>
    </w:p>
    <w:p w14:paraId="09110FE1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poprzez wykorzystanie czynności hamakowych istnieje możliwość odwzorowania kosztów związanych z czasem, takich jak kary umowne, dzierżawy czy przestoje.</w:t>
      </w:r>
    </w:p>
    <w:p w14:paraId="2581BBF6" w14:textId="64EEB32C" w:rsidR="00FD69C0" w:rsidRPr="00B76302" w:rsidRDefault="00FD69C0" w:rsidP="00FD69C0">
      <w:pPr>
        <w:suppressAutoHyphens w:val="0"/>
        <w:spacing w:before="100" w:beforeAutospacing="1" w:after="75" w:line="240" w:lineRule="auto"/>
        <w:jc w:val="both"/>
        <w:textAlignment w:val="baseline"/>
        <w:rPr>
          <w:rFonts w:cs="Times New Roman"/>
          <w:b/>
          <w:sz w:val="20"/>
          <w:szCs w:val="20"/>
        </w:rPr>
      </w:pPr>
      <w:r w:rsidRPr="00B76302">
        <w:rPr>
          <w:rFonts w:cs="Times New Roman"/>
          <w:b/>
          <w:sz w:val="20"/>
          <w:szCs w:val="20"/>
        </w:rPr>
        <w:t>Oprogramowanie Planista 6.5.22 równoważność</w:t>
      </w:r>
    </w:p>
    <w:p w14:paraId="7D1483BC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modelowanie kosztów związanych z czasem, np. kosztów, kar umownych;</w:t>
      </w:r>
    </w:p>
    <w:p w14:paraId="170ECC6B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sortowanie i filtrowanie czynności na ekranie z harmonogramem i na wydrukach wg różnych kryteriów w zdefiniowany przez siebie sposób;</w:t>
      </w:r>
    </w:p>
    <w:p w14:paraId="2DC4E7EF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współpracuje z wieloma programami do kosztorysowania, odczytuje nazwy pozycji kosztorysowych, obmiary, ilości oraz ceny wszystkich nakładów;</w:t>
      </w:r>
    </w:p>
    <w:p w14:paraId="7602851A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przesyłanie do Excela zestawień miesięcznych dla nakładów rzeczowych lub wartości finansowych;</w:t>
      </w:r>
    </w:p>
    <w:p w14:paraId="59B92902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porównywanie rzeczywistych kosztów robocizny z przewidywanymi w kosztorysie;</w:t>
      </w:r>
    </w:p>
    <w:p w14:paraId="2F672797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automatyczne sporządzanie planów w układzie dziennym lub miesięcznym.</w:t>
      </w:r>
    </w:p>
    <w:p w14:paraId="23669AFB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przy wykorzystaniu analizy sieciowej (wbudowanej w program) możliwe jest:</w:t>
      </w:r>
    </w:p>
    <w:p w14:paraId="325461D5" w14:textId="77777777" w:rsidR="00FD69C0" w:rsidRPr="00B76302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zbudowanie siatki zależności ułatwiającej skontrolowanie logiki układu całego przedsięwzięcia, następstw i równoległości działań;</w:t>
      </w:r>
    </w:p>
    <w:p w14:paraId="6A39E944" w14:textId="77777777" w:rsidR="00FD69C0" w:rsidRPr="00B76302" w:rsidRDefault="00FD69C0" w:rsidP="00FD69C0">
      <w:pPr>
        <w:numPr>
          <w:ilvl w:val="1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wyznaczanie minimalnego czasu trwania przedsięwzięcia, ścieżki krytycznej i rezerw czasu dla poszczególnych czynności.</w:t>
      </w:r>
    </w:p>
    <w:p w14:paraId="4AB6BB15" w14:textId="77777777" w:rsidR="00FD69C0" w:rsidRPr="00B76302" w:rsidRDefault="00FD69C0" w:rsidP="00FD69C0">
      <w:pPr>
        <w:numPr>
          <w:ilvl w:val="0"/>
          <w:numId w:val="30"/>
        </w:numPr>
        <w:suppressAutoHyphens w:val="0"/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76302">
        <w:rPr>
          <w:rFonts w:eastAsia="Times New Roman" w:cs="Times New Roman"/>
          <w:sz w:val="20"/>
          <w:szCs w:val="20"/>
          <w:lang w:eastAsia="pl-PL"/>
        </w:rPr>
        <w:t>poprzez wykorzystanie czynności hamakowych istnieje możliwość odwzorowania kosztów związanych z czasem, takich jak kary umowne, dzierżawy czy przestoje.</w:t>
      </w:r>
    </w:p>
    <w:p w14:paraId="6B2B0312" w14:textId="77777777" w:rsidR="00FD69C0" w:rsidRPr="00B76302" w:rsidRDefault="00FD69C0" w:rsidP="00FD69C0">
      <w:pPr>
        <w:pStyle w:val="Akapitzlist"/>
        <w:rPr>
          <w:sz w:val="20"/>
          <w:szCs w:val="20"/>
        </w:rPr>
      </w:pPr>
    </w:p>
    <w:p w14:paraId="20C02BF7" w14:textId="626C1E21" w:rsidR="001E0C04" w:rsidRPr="00B76302" w:rsidRDefault="007971B0">
      <w:pPr>
        <w:jc w:val="both"/>
        <w:rPr>
          <w:rFonts w:cs="Times New Roman"/>
          <w:b/>
          <w:bCs/>
          <w:sz w:val="20"/>
          <w:szCs w:val="20"/>
        </w:rPr>
      </w:pPr>
      <w:r w:rsidRPr="00B76302">
        <w:rPr>
          <w:rFonts w:cs="Times New Roman"/>
          <w:b/>
          <w:bCs/>
          <w:sz w:val="20"/>
          <w:szCs w:val="20"/>
        </w:rPr>
        <w:t>Wszystkie wymienione parametry, role, funkcje, itp. objęte są dostarczoną licencją (licencjami) i zawarte w dostarczonej wersji oprogramowania (nie wymagają instalacji dodatkowego oprogramowania oraz ponoszenia przez Zamawiającego dodatkowych kosztów).</w:t>
      </w:r>
    </w:p>
    <w:p w14:paraId="0763711C" w14:textId="77777777" w:rsidR="001E0C04" w:rsidRPr="00B76302" w:rsidRDefault="007971B0">
      <w:pPr>
        <w:rPr>
          <w:rFonts w:cs="Times New Roman"/>
          <w:b/>
          <w:bCs/>
          <w:sz w:val="20"/>
          <w:szCs w:val="20"/>
        </w:rPr>
      </w:pPr>
      <w:r w:rsidRPr="00B76302">
        <w:rPr>
          <w:rFonts w:cs="Times New Roman"/>
          <w:b/>
          <w:bCs/>
          <w:sz w:val="20"/>
          <w:szCs w:val="20"/>
        </w:rPr>
        <w:t>Obowiązek wykazania równoważności zaoferowanego oprogramowania leży po stronie Wykonawcy. W przypadku zaproponowania produktu równoważnego, Wykonawca dołączy do oferty stosowne oświadczenie oraz dokumenty potwierdzające równoważność proponowanego systemu operacyjnego.</w:t>
      </w:r>
    </w:p>
    <w:p w14:paraId="0CF6F280" w14:textId="77777777" w:rsidR="001E0C04" w:rsidRPr="00B76302" w:rsidRDefault="007971B0">
      <w:pPr>
        <w:jc w:val="both"/>
        <w:rPr>
          <w:rFonts w:cs="Times New Roman"/>
          <w:b/>
          <w:bCs/>
          <w:sz w:val="20"/>
          <w:szCs w:val="20"/>
        </w:rPr>
      </w:pPr>
      <w:r w:rsidRPr="00B76302">
        <w:rPr>
          <w:rFonts w:cs="Times New Roman"/>
          <w:b/>
          <w:bCs/>
          <w:sz w:val="20"/>
          <w:szCs w:val="20"/>
        </w:rPr>
        <w:lastRenderedPageBreak/>
        <w:t>W przypadku zaoferowania oprogramowania równoważnego Wykonawca zapewni szkolenie z obsługi zaoferowanego oprogramowania, które umożliwi zapoznanie z zasadami działania oprogramowania oraz zdobycie wiedzy i umiejętności potrzebnych do biegłej obsługi i administrowania systemem operacyjnym na poziomie zaawansowanym.</w:t>
      </w:r>
    </w:p>
    <w:p w14:paraId="78C1DC3B" w14:textId="77777777" w:rsidR="001E0C04" w:rsidRPr="00B76302" w:rsidRDefault="007971B0">
      <w:pPr>
        <w:rPr>
          <w:rFonts w:cs="Times New Roman"/>
          <w:b/>
          <w:bCs/>
          <w:sz w:val="20"/>
          <w:szCs w:val="20"/>
        </w:rPr>
      </w:pPr>
      <w:r w:rsidRPr="00B76302">
        <w:rPr>
          <w:rFonts w:cs="Times New Roman"/>
          <w:b/>
          <w:bCs/>
          <w:sz w:val="20"/>
          <w:szCs w:val="20"/>
        </w:rPr>
        <w:t>Szkolenie musi być realizowane przez autoryzowanego partnera producenta oprogramowania.</w:t>
      </w:r>
    </w:p>
    <w:p w14:paraId="402ACB6E" w14:textId="27CC6604" w:rsidR="001E0C04" w:rsidRPr="00B76302" w:rsidRDefault="007971B0">
      <w:pPr>
        <w:ind w:right="-145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B76302">
        <w:rPr>
          <w:rFonts w:eastAsia="Times New Roman" w:cs="Times New Roman"/>
          <w:b/>
          <w:sz w:val="20"/>
          <w:szCs w:val="20"/>
          <w:lang w:eastAsia="ar-SA"/>
        </w:rPr>
        <w:t>UWAGA:</w:t>
      </w:r>
    </w:p>
    <w:p w14:paraId="331C67E8" w14:textId="3647FFE6" w:rsidR="00B76302" w:rsidRPr="00B76302" w:rsidRDefault="00B76302" w:rsidP="00B76302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B76302">
        <w:rPr>
          <w:rFonts w:eastAsia="Times New Roman" w:cstheme="minorHAnsi"/>
          <w:b/>
          <w:sz w:val="20"/>
          <w:szCs w:val="20"/>
          <w:lang w:eastAsia="ar-SA"/>
        </w:rPr>
        <w:t xml:space="preserve">W przypadku braku nazwy producenta lub typu, produktu, modelu lub innych danych zawartych w Załączniku nr 3d do SWZ umożliwiających identyfikację oferowanego sprzętu oraz braku powyższych danych w innych załączonych do oferty dokumentach, oferta Wykonawcy nie będzie podlegała uzupełnieniu i zostanie odrzucona na podstawie art. </w:t>
      </w:r>
      <w:r w:rsidRPr="00B76302">
        <w:rPr>
          <w:b/>
          <w:color w:val="000000"/>
          <w:sz w:val="20"/>
          <w:szCs w:val="20"/>
        </w:rPr>
        <w:t xml:space="preserve">226 ust. 1 pkt 5) </w:t>
      </w:r>
      <w:r w:rsidRPr="00B76302">
        <w:rPr>
          <w:rFonts w:eastAsia="Times New Roman" w:cstheme="minorHAnsi"/>
          <w:b/>
          <w:sz w:val="20"/>
          <w:szCs w:val="20"/>
          <w:lang w:eastAsia="ar-SA"/>
        </w:rPr>
        <w:t xml:space="preserve">ustawy Pzp tj. </w:t>
      </w:r>
      <w:r w:rsidRPr="00B76302">
        <w:rPr>
          <w:b/>
          <w:color w:val="000000"/>
          <w:sz w:val="20"/>
          <w:szCs w:val="20"/>
        </w:rPr>
        <w:t>) ustawy Pzp, jako, że jej treść nie będzie odpowiadać treści SWZ.</w:t>
      </w:r>
    </w:p>
    <w:p w14:paraId="3C12635B" w14:textId="77777777" w:rsidR="001E0C04" w:rsidRPr="00B76302" w:rsidRDefault="001E0C04">
      <w:pPr>
        <w:rPr>
          <w:rFonts w:cs="Times New Roman"/>
          <w:i/>
          <w:iCs/>
          <w:sz w:val="20"/>
          <w:szCs w:val="20"/>
          <w:highlight w:val="yellow"/>
        </w:rPr>
      </w:pPr>
    </w:p>
    <w:p w14:paraId="4C89ED94" w14:textId="77777777" w:rsidR="00B76302" w:rsidRPr="0070375F" w:rsidRDefault="00B76302" w:rsidP="00B76302">
      <w:pPr>
        <w:ind w:right="-145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70375F">
        <w:rPr>
          <w:rFonts w:eastAsia="Times New Roman" w:cstheme="minorHAnsi"/>
          <w:b/>
          <w:sz w:val="20"/>
          <w:szCs w:val="20"/>
          <w:lang w:eastAsia="ar-SA"/>
        </w:rPr>
        <w:t>…………………………….., dnia ……….. 2021 roku</w:t>
      </w:r>
    </w:p>
    <w:p w14:paraId="7F77E634" w14:textId="77777777" w:rsidR="001E0C04" w:rsidRPr="00B76302" w:rsidRDefault="001E0C04">
      <w:pPr>
        <w:rPr>
          <w:sz w:val="20"/>
          <w:szCs w:val="20"/>
        </w:rPr>
      </w:pPr>
    </w:p>
    <w:sectPr w:rsidR="001E0C04" w:rsidRPr="00B76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F57A0" w14:textId="77777777" w:rsidR="00CC2C26" w:rsidRDefault="00CC2C26">
      <w:pPr>
        <w:spacing w:after="0" w:line="240" w:lineRule="auto"/>
      </w:pPr>
      <w:r>
        <w:separator/>
      </w:r>
    </w:p>
  </w:endnote>
  <w:endnote w:type="continuationSeparator" w:id="0">
    <w:p w14:paraId="5C2C80DA" w14:textId="77777777" w:rsidR="00CC2C26" w:rsidRDefault="00CC2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64573" w14:textId="77777777" w:rsidR="001A64B1" w:rsidRDefault="001A6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C3C541" w14:textId="77777777" w:rsidR="001A64B1" w:rsidRDefault="001A64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3DDC7" w14:textId="77777777" w:rsidR="001A64B1" w:rsidRDefault="001A6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06DE" w14:textId="77777777" w:rsidR="00CC2C26" w:rsidRDefault="00CC2C26">
      <w:pPr>
        <w:spacing w:after="0" w:line="240" w:lineRule="auto"/>
      </w:pPr>
      <w:r>
        <w:separator/>
      </w:r>
    </w:p>
  </w:footnote>
  <w:footnote w:type="continuationSeparator" w:id="0">
    <w:p w14:paraId="4CBA484A" w14:textId="77777777" w:rsidR="00CC2C26" w:rsidRDefault="00CC2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412B4" w14:textId="77777777" w:rsidR="001A64B1" w:rsidRDefault="001A64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09CE" w14:textId="320E19DA" w:rsidR="007971B0" w:rsidRDefault="007971B0" w:rsidP="007971B0">
    <w:pPr>
      <w:spacing w:after="156"/>
      <w:ind w:left="144"/>
    </w:pPr>
    <w:bookmarkStart w:id="0" w:name="_Hlk58318774"/>
    <w:bookmarkStart w:id="1" w:name="_Hlk58318775"/>
    <w:r>
      <w:t xml:space="preserve">Znak sprawy </w:t>
    </w:r>
    <w:bookmarkStart w:id="2" w:name="_Hlk58317285"/>
    <w:r w:rsidRPr="00FC5E5D">
      <w:t>IN.271.1</w:t>
    </w:r>
    <w:r w:rsidR="00891DC8">
      <w:t>0</w:t>
    </w:r>
    <w:r w:rsidRPr="00FC5E5D">
      <w:t>.202</w:t>
    </w:r>
    <w:bookmarkEnd w:id="2"/>
    <w:r w:rsidR="00891DC8">
      <w:t>1</w:t>
    </w:r>
  </w:p>
  <w:p w14:paraId="21410F6F" w14:textId="77777777" w:rsidR="007971B0" w:rsidRDefault="007971B0" w:rsidP="007971B0">
    <w:pPr>
      <w:spacing w:after="0"/>
      <w:ind w:left="144"/>
    </w:pPr>
    <w:r>
      <w:rPr>
        <w:rFonts w:ascii="Arial" w:eastAsia="Arial" w:hAnsi="Arial" w:cs="Arial"/>
      </w:rPr>
      <w:t xml:space="preserve"> </w:t>
    </w:r>
    <w:bookmarkStart w:id="3" w:name="_GoBack"/>
    <w:r w:rsidRPr="00141209">
      <w:rPr>
        <w:rFonts w:cs="Calibri"/>
        <w:noProof/>
        <w:sz w:val="24"/>
        <w:szCs w:val="24"/>
        <w:lang w:eastAsia="pl-PL"/>
      </w:rPr>
      <w:drawing>
        <wp:inline distT="0" distB="0" distL="0" distR="0" wp14:anchorId="537B6663" wp14:editId="5B424AE7">
          <wp:extent cx="8553450" cy="569595"/>
          <wp:effectExtent l="0" t="0" r="0" b="1905"/>
          <wp:docPr id="50" name="Obraz 50" descr="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3"/>
  </w:p>
  <w:p w14:paraId="57F9E8DE" w14:textId="148F2E7A" w:rsidR="007971B0" w:rsidRDefault="007971B0" w:rsidP="007971B0">
    <w:pPr>
      <w:pStyle w:val="Akapitzlist"/>
      <w:tabs>
        <w:tab w:val="left" w:pos="7599"/>
        <w:tab w:val="right" w:pos="14004"/>
      </w:tabs>
      <w:spacing w:after="0"/>
      <w:ind w:left="0"/>
      <w:rPr>
        <w:rFonts w:ascii="Times New Roman" w:hAnsi="Times New Roman" w:cs="Times New Roman"/>
        <w:b/>
        <w:sz w:val="24"/>
        <w:szCs w:val="24"/>
      </w:rPr>
    </w:pPr>
    <w:r>
      <w:rPr>
        <w:rFonts w:eastAsia="Calibri"/>
        <w:b/>
        <w:sz w:val="24"/>
        <w:szCs w:val="24"/>
      </w:rPr>
      <w:tab/>
    </w:r>
    <w:r>
      <w:rPr>
        <w:rFonts w:eastAsia="Calibri"/>
        <w:b/>
        <w:sz w:val="24"/>
        <w:szCs w:val="24"/>
      </w:rPr>
      <w:tab/>
      <w:t xml:space="preserve">Załącznik nr </w:t>
    </w:r>
    <w:r w:rsidR="00891DC8">
      <w:rPr>
        <w:rFonts w:eastAsia="Calibri"/>
        <w:b/>
        <w:sz w:val="24"/>
        <w:szCs w:val="24"/>
      </w:rPr>
      <w:t>3</w:t>
    </w:r>
    <w:r w:rsidR="00AB445F">
      <w:rPr>
        <w:rFonts w:eastAsia="Calibri"/>
        <w:b/>
        <w:sz w:val="24"/>
        <w:szCs w:val="24"/>
      </w:rPr>
      <w:t>d</w:t>
    </w:r>
    <w:r>
      <w:rPr>
        <w:rFonts w:eastAsia="Calibri"/>
        <w:b/>
        <w:sz w:val="24"/>
        <w:szCs w:val="24"/>
      </w:rPr>
      <w:t xml:space="preserve"> do SIWZ</w:t>
    </w:r>
  </w:p>
  <w:p w14:paraId="29677ACB" w14:textId="77777777" w:rsidR="007971B0" w:rsidRDefault="007971B0" w:rsidP="007971B0">
    <w:pPr>
      <w:pStyle w:val="Nagwek"/>
    </w:pPr>
  </w:p>
  <w:p w14:paraId="01DE980A" w14:textId="77777777" w:rsidR="007971B0" w:rsidRDefault="007971B0" w:rsidP="007971B0">
    <w:pPr>
      <w:pStyle w:val="Nagwek"/>
    </w:pPr>
  </w:p>
  <w:p w14:paraId="13047744" w14:textId="77777777" w:rsidR="001E0C04" w:rsidRPr="007971B0" w:rsidRDefault="001E0C04" w:rsidP="007971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3D6C5" w14:textId="77777777" w:rsidR="001A64B1" w:rsidRDefault="001A64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94C02"/>
    <w:multiLevelType w:val="multilevel"/>
    <w:tmpl w:val="6E566858"/>
    <w:lvl w:ilvl="0">
      <w:start w:val="7"/>
      <w:numFmt w:val="bullet"/>
      <w:lvlText w:val="•"/>
      <w:lvlJc w:val="left"/>
      <w:pPr>
        <w:tabs>
          <w:tab w:val="num" w:pos="0"/>
        </w:tabs>
        <w:ind w:left="705" w:hanging="5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E47E5E"/>
    <w:multiLevelType w:val="multilevel"/>
    <w:tmpl w:val="6B58808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41B6B"/>
    <w:multiLevelType w:val="hybridMultilevel"/>
    <w:tmpl w:val="40E88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E760E"/>
    <w:multiLevelType w:val="multilevel"/>
    <w:tmpl w:val="90CC51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FE42408"/>
    <w:multiLevelType w:val="multilevel"/>
    <w:tmpl w:val="261087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209952C7"/>
    <w:multiLevelType w:val="multilevel"/>
    <w:tmpl w:val="BB6C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B0797F"/>
    <w:multiLevelType w:val="multilevel"/>
    <w:tmpl w:val="979E28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3DD7DFA"/>
    <w:multiLevelType w:val="hybridMultilevel"/>
    <w:tmpl w:val="24CE4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F307D"/>
    <w:multiLevelType w:val="multilevel"/>
    <w:tmpl w:val="F580C020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FF5E58"/>
    <w:multiLevelType w:val="hybridMultilevel"/>
    <w:tmpl w:val="8C08AB50"/>
    <w:lvl w:ilvl="0" w:tplc="32901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A3F45"/>
    <w:multiLevelType w:val="multilevel"/>
    <w:tmpl w:val="F0488858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F136E9"/>
    <w:multiLevelType w:val="multilevel"/>
    <w:tmpl w:val="6D76D04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8DE2C70"/>
    <w:multiLevelType w:val="multilevel"/>
    <w:tmpl w:val="F8E6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893C38"/>
    <w:multiLevelType w:val="multilevel"/>
    <w:tmpl w:val="E4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3E2438"/>
    <w:multiLevelType w:val="multilevel"/>
    <w:tmpl w:val="654A54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3757B2"/>
    <w:multiLevelType w:val="multilevel"/>
    <w:tmpl w:val="15444914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04761A1"/>
    <w:multiLevelType w:val="multilevel"/>
    <w:tmpl w:val="60C86F4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17" w15:restartNumberingAfterBreak="0">
    <w:nsid w:val="60AA1C43"/>
    <w:multiLevelType w:val="multilevel"/>
    <w:tmpl w:val="D46821E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E72568"/>
    <w:multiLevelType w:val="multilevel"/>
    <w:tmpl w:val="91889A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7171965"/>
    <w:multiLevelType w:val="multilevel"/>
    <w:tmpl w:val="D6FC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955217"/>
    <w:multiLevelType w:val="multilevel"/>
    <w:tmpl w:val="19B23D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69A531FF"/>
    <w:multiLevelType w:val="multilevel"/>
    <w:tmpl w:val="8F3C6DF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6F83369B"/>
    <w:multiLevelType w:val="multilevel"/>
    <w:tmpl w:val="0E4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3112C"/>
    <w:multiLevelType w:val="multilevel"/>
    <w:tmpl w:val="DE7A9DD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5447F09"/>
    <w:multiLevelType w:val="multilevel"/>
    <w:tmpl w:val="7D7470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CA057D"/>
    <w:multiLevelType w:val="hybridMultilevel"/>
    <w:tmpl w:val="6C80F890"/>
    <w:lvl w:ilvl="0" w:tplc="5D5E5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C56BF"/>
    <w:multiLevelType w:val="multilevel"/>
    <w:tmpl w:val="6D76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23"/>
  </w:num>
  <w:num w:numId="4">
    <w:abstractNumId w:val="14"/>
  </w:num>
  <w:num w:numId="5">
    <w:abstractNumId w:val="17"/>
  </w:num>
  <w:num w:numId="6">
    <w:abstractNumId w:val="24"/>
  </w:num>
  <w:num w:numId="7">
    <w:abstractNumId w:val="11"/>
  </w:num>
  <w:num w:numId="8">
    <w:abstractNumId w:val="6"/>
  </w:num>
  <w:num w:numId="9">
    <w:abstractNumId w:val="21"/>
  </w:num>
  <w:num w:numId="10">
    <w:abstractNumId w:val="8"/>
  </w:num>
  <w:num w:numId="11">
    <w:abstractNumId w:val="1"/>
  </w:num>
  <w:num w:numId="12">
    <w:abstractNumId w:val="15"/>
  </w:num>
  <w:num w:numId="13">
    <w:abstractNumId w:val="20"/>
  </w:num>
  <w:num w:numId="14">
    <w:abstractNumId w:val="16"/>
  </w:num>
  <w:num w:numId="15">
    <w:abstractNumId w:val="0"/>
  </w:num>
  <w:num w:numId="16">
    <w:abstractNumId w:val="10"/>
  </w:num>
  <w:num w:numId="17">
    <w:abstractNumId w:val="4"/>
  </w:num>
  <w:num w:numId="18">
    <w:abstractNumId w:val="11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5"/>
  </w:num>
  <w:num w:numId="22">
    <w:abstractNumId w:val="19"/>
  </w:num>
  <w:num w:numId="23">
    <w:abstractNumId w:val="12"/>
  </w:num>
  <w:num w:numId="24">
    <w:abstractNumId w:val="13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2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04"/>
    <w:rsid w:val="001545F0"/>
    <w:rsid w:val="001A64B1"/>
    <w:rsid w:val="001E0C04"/>
    <w:rsid w:val="00322FBE"/>
    <w:rsid w:val="003252C0"/>
    <w:rsid w:val="004A3A3F"/>
    <w:rsid w:val="004F77D8"/>
    <w:rsid w:val="005E4696"/>
    <w:rsid w:val="007236B8"/>
    <w:rsid w:val="00783C6B"/>
    <w:rsid w:val="007971B0"/>
    <w:rsid w:val="007A7A65"/>
    <w:rsid w:val="0083178E"/>
    <w:rsid w:val="00891DC8"/>
    <w:rsid w:val="009D153F"/>
    <w:rsid w:val="00AB445F"/>
    <w:rsid w:val="00B31AB1"/>
    <w:rsid w:val="00B5532D"/>
    <w:rsid w:val="00B62F7C"/>
    <w:rsid w:val="00B76302"/>
    <w:rsid w:val="00CC2C26"/>
    <w:rsid w:val="00CE26CA"/>
    <w:rsid w:val="00D44B0C"/>
    <w:rsid w:val="00D76B74"/>
    <w:rsid w:val="00DD297E"/>
    <w:rsid w:val="00EC605D"/>
    <w:rsid w:val="00F45B1A"/>
    <w:rsid w:val="00F71344"/>
    <w:rsid w:val="00F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965BC1"/>
  <w15:docId w15:val="{9997A3BC-37F8-402C-B63D-B7E8623F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02F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4A3A3F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unhideWhenUsed/>
    <w:qFormat/>
    <w:rsid w:val="0092202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9220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2202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A31FE"/>
  </w:style>
  <w:style w:type="character" w:customStyle="1" w:styleId="StopkaZnak">
    <w:name w:val="Stopka Znak"/>
    <w:basedOn w:val="Domylnaczcionkaakapitu"/>
    <w:link w:val="Stopka"/>
    <w:uiPriority w:val="99"/>
    <w:qFormat/>
    <w:rsid w:val="002A31FE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85688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qFormat/>
    <w:rsid w:val="0092202F"/>
    <w:pPr>
      <w:spacing w:after="200" w:line="276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92202F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22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A3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4A3A3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A3A3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A3A3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D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B6743-909D-486E-8E82-FA398D0B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Dolata</dc:creator>
  <dc:description/>
  <cp:lastModifiedBy>Siwak Przemysław</cp:lastModifiedBy>
  <cp:revision>10</cp:revision>
  <cp:lastPrinted>2020-11-17T12:38:00Z</cp:lastPrinted>
  <dcterms:created xsi:type="dcterms:W3CDTF">2020-12-10T23:56:00Z</dcterms:created>
  <dcterms:modified xsi:type="dcterms:W3CDTF">2021-04-29T13:09:00Z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