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E72751">
        <w:rPr>
          <w:rFonts w:ascii="Calibri" w:hAnsi="Calibri"/>
          <w:sz w:val="22"/>
          <w:szCs w:val="22"/>
        </w:rPr>
        <w:t>1</w:t>
      </w:r>
      <w:r w:rsidR="00143448">
        <w:rPr>
          <w:rFonts w:ascii="Calibri" w:hAnsi="Calibri"/>
          <w:sz w:val="22"/>
          <w:szCs w:val="22"/>
        </w:rPr>
        <w:t>8</w:t>
      </w:r>
      <w:r w:rsidR="00781BCC" w:rsidRPr="00781BCC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</w:t>
      </w:r>
      <w:r w:rsidR="00546805">
        <w:rPr>
          <w:rFonts w:ascii="Calibri" w:hAnsi="Calibri"/>
          <w:sz w:val="22"/>
          <w:szCs w:val="22"/>
        </w:rPr>
        <w:t>6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53B4D">
        <w:rPr>
          <w:rFonts w:ascii="Calibri" w:hAnsi="Calibri"/>
          <w:sz w:val="22"/>
          <w:szCs w:val="22"/>
        </w:rPr>
        <w:t>1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E72751">
        <w:rPr>
          <w:rFonts w:asciiTheme="minorHAnsi" w:hAnsiTheme="minorHAnsi"/>
          <w:sz w:val="24"/>
          <w:szCs w:val="24"/>
        </w:rPr>
        <w:t>7</w:t>
      </w:r>
      <w:r w:rsidR="0034226A">
        <w:rPr>
          <w:rFonts w:asciiTheme="minorHAnsi" w:hAnsiTheme="minorHAnsi"/>
          <w:sz w:val="24"/>
          <w:szCs w:val="24"/>
        </w:rPr>
        <w:t>.</w:t>
      </w:r>
      <w:r w:rsidRPr="00453B4D">
        <w:rPr>
          <w:rFonts w:asciiTheme="minorHAnsi" w:hAnsiTheme="minorHAnsi"/>
          <w:sz w:val="24"/>
          <w:szCs w:val="24"/>
        </w:rPr>
        <w:t>202</w:t>
      </w:r>
      <w:r w:rsidR="0034226A">
        <w:rPr>
          <w:rFonts w:asciiTheme="minorHAnsi" w:hAnsiTheme="minorHAnsi"/>
          <w:sz w:val="24"/>
          <w:szCs w:val="24"/>
        </w:rPr>
        <w:t>1</w:t>
      </w:r>
    </w:p>
    <w:p w:rsidR="00F24FBA" w:rsidRDefault="00F24FBA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F24FBA" w:rsidRDefault="00F24FBA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F24FBA" w:rsidRDefault="00F24FBA" w:rsidP="008E799A">
      <w:pPr>
        <w:ind w:left="5325"/>
        <w:rPr>
          <w:rFonts w:asciiTheme="minorHAnsi" w:hAnsiTheme="minorHAnsi"/>
          <w:sz w:val="24"/>
          <w:szCs w:val="24"/>
        </w:rPr>
      </w:pPr>
    </w:p>
    <w:p w:rsidR="00A547A8" w:rsidRPr="00E72751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72751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8E799A" w:rsidRPr="00453B4D" w:rsidRDefault="008E799A" w:rsidP="00453B4D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66971171"/>
      <w:r w:rsidRPr="00453B4D">
        <w:rPr>
          <w:rFonts w:asciiTheme="minorHAnsi" w:hAnsiTheme="minorHAnsi"/>
          <w:sz w:val="22"/>
          <w:szCs w:val="22"/>
        </w:rPr>
        <w:t xml:space="preserve">Dotyczy: </w:t>
      </w:r>
      <w:r w:rsidR="00453B4D">
        <w:rPr>
          <w:rFonts w:asciiTheme="minorHAnsi" w:hAnsiTheme="minorHAnsi"/>
          <w:sz w:val="22"/>
          <w:szCs w:val="22"/>
        </w:rPr>
        <w:t xml:space="preserve">postępowania prowadzonego w trybie art. 275 pkt. 1 </w:t>
      </w:r>
      <w:r w:rsidR="00D15894">
        <w:rPr>
          <w:rFonts w:asciiTheme="minorHAnsi" w:hAnsiTheme="minorHAnsi"/>
          <w:sz w:val="22"/>
          <w:szCs w:val="22"/>
        </w:rPr>
        <w:t>o udzielenie zamówienia publicznego powyżej 130 000 zł</w:t>
      </w:r>
      <w:r w:rsidR="00453B4D">
        <w:rPr>
          <w:rFonts w:asciiTheme="minorHAnsi" w:hAnsiTheme="minorHAnsi"/>
          <w:sz w:val="22"/>
          <w:szCs w:val="22"/>
        </w:rPr>
        <w:t xml:space="preserve"> na realizację zadania p.n.:</w:t>
      </w:r>
      <w:r w:rsidR="00E23752" w:rsidRPr="00453B4D">
        <w:rPr>
          <w:rFonts w:asciiTheme="minorHAnsi" w:hAnsiTheme="minorHAnsi"/>
          <w:sz w:val="22"/>
          <w:szCs w:val="22"/>
        </w:rPr>
        <w:t xml:space="preserve"> 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„</w:t>
      </w:r>
      <w:r w:rsidR="00546805">
        <w:rPr>
          <w:rFonts w:asciiTheme="minorHAnsi" w:hAnsiTheme="minorHAnsi"/>
          <w:b/>
          <w:bCs/>
          <w:sz w:val="22"/>
          <w:szCs w:val="22"/>
        </w:rPr>
        <w:t>Wymiana pokrycia dachowego na obiekcie Szkoły Podstawowej w Kończycach Małych</w:t>
      </w:r>
      <w:r w:rsidR="004C5495"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:rsidR="005E4566" w:rsidRPr="00453B4D" w:rsidRDefault="00AF145D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453B4D" w:rsidRDefault="005E4566" w:rsidP="00150B3E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</w:t>
      </w:r>
    </w:p>
    <w:p w:rsidR="008E799A" w:rsidRPr="00453B4D" w:rsidRDefault="008E799A" w:rsidP="00BE233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W związku z zapytani</w:t>
      </w:r>
      <w:r w:rsidR="00A60EAA">
        <w:rPr>
          <w:rFonts w:asciiTheme="minorHAnsi" w:hAnsiTheme="minorHAnsi"/>
          <w:sz w:val="22"/>
          <w:szCs w:val="22"/>
        </w:rPr>
        <w:t>ami</w:t>
      </w:r>
      <w:r w:rsidRPr="00453B4D">
        <w:rPr>
          <w:rFonts w:asciiTheme="minorHAnsi" w:hAnsiTheme="minorHAnsi"/>
          <w:sz w:val="22"/>
          <w:szCs w:val="22"/>
        </w:rPr>
        <w:t>, które wpłynęł</w:t>
      </w:r>
      <w:r w:rsidR="00A60EAA">
        <w:rPr>
          <w:rFonts w:asciiTheme="minorHAnsi" w:hAnsiTheme="minorHAnsi"/>
          <w:sz w:val="22"/>
          <w:szCs w:val="22"/>
        </w:rPr>
        <w:t>y</w:t>
      </w:r>
      <w:r w:rsidRPr="00453B4D">
        <w:rPr>
          <w:rFonts w:asciiTheme="minorHAnsi" w:hAnsiTheme="minorHAnsi"/>
          <w:sz w:val="22"/>
          <w:szCs w:val="22"/>
        </w:rPr>
        <w:t xml:space="preserve"> w sprawie w/w </w:t>
      </w:r>
      <w:r w:rsidR="00453B4D" w:rsidRPr="00453B4D">
        <w:rPr>
          <w:rFonts w:asciiTheme="minorHAnsi" w:hAnsiTheme="minorHAnsi"/>
          <w:sz w:val="22"/>
          <w:szCs w:val="22"/>
        </w:rPr>
        <w:t xml:space="preserve">postępowania </w:t>
      </w:r>
      <w:r w:rsidRPr="00453B4D">
        <w:rPr>
          <w:rFonts w:asciiTheme="minorHAnsi" w:hAnsiTheme="minorHAnsi"/>
          <w:sz w:val="22"/>
          <w:szCs w:val="22"/>
        </w:rPr>
        <w:t>udzielamy następując</w:t>
      </w:r>
      <w:r w:rsidR="00E72751">
        <w:rPr>
          <w:rFonts w:asciiTheme="minorHAnsi" w:hAnsiTheme="minorHAnsi"/>
          <w:sz w:val="22"/>
          <w:szCs w:val="22"/>
        </w:rPr>
        <w:t>ych</w:t>
      </w:r>
      <w:r w:rsidR="00D15894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sz w:val="22"/>
          <w:szCs w:val="22"/>
        </w:rPr>
        <w:t>odpowiedzi:</w:t>
      </w:r>
    </w:p>
    <w:p w:rsidR="00546805" w:rsidRDefault="00546805" w:rsidP="00546805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A60EAA" w:rsidRPr="00A60EAA" w:rsidRDefault="00A60EAA" w:rsidP="00546805">
      <w:pPr>
        <w:suppressAutoHyphens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ZAPYTANIE I</w:t>
      </w:r>
    </w:p>
    <w:p w:rsidR="00546805" w:rsidRPr="00546805" w:rsidRDefault="00546805" w:rsidP="00546805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546805">
        <w:rPr>
          <w:rFonts w:asciiTheme="minorHAnsi" w:hAnsiTheme="minorHAnsi"/>
          <w:sz w:val="22"/>
          <w:szCs w:val="22"/>
        </w:rPr>
        <w:t>Pytanie nr 1. </w:t>
      </w:r>
    </w:p>
    <w:p w:rsidR="00546805" w:rsidRPr="00E72751" w:rsidRDefault="00E72751" w:rsidP="00E72751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Dział XIII pkt 1.4 SIWZ wymaga spełnienia warunku: wykonania co najmniej dwóch robót budowlanych polegających na remoncie pokrycia dachowego każda o wartości co najmniej 100 000,00 zł brutto</w:t>
      </w:r>
      <w:r w:rsidRPr="00E72751">
        <w:rPr>
          <w:rFonts w:asciiTheme="minorHAnsi" w:hAnsiTheme="minorHAnsi" w:cs="Helvetica"/>
          <w:sz w:val="22"/>
          <w:szCs w:val="22"/>
        </w:rPr>
        <w:br/>
      </w: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Czy Zamawiający dopuszcza wykonanie nowego pokrycia dachowego (zamiast remontu) o wartości co najmniej 100 000,00 zł brutto?</w:t>
      </w:r>
    </w:p>
    <w:p w:rsid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:rsidR="00E72751" w:rsidRDefault="00BE233C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</w:t>
      </w:r>
      <w:r w:rsidR="00E72751">
        <w:rPr>
          <w:rFonts w:asciiTheme="minorHAnsi" w:hAnsiTheme="minorHAnsi"/>
          <w:sz w:val="22"/>
          <w:szCs w:val="22"/>
        </w:rPr>
        <w:t xml:space="preserve">y </w:t>
      </w:r>
      <w:r w:rsidR="00143448">
        <w:rPr>
          <w:rFonts w:asciiTheme="minorHAnsi" w:hAnsiTheme="minorHAnsi"/>
          <w:sz w:val="22"/>
          <w:szCs w:val="22"/>
        </w:rPr>
        <w:t>dopuszcza wykonanie co najmniej dwóch robót budowlanych polegających na wykonaniu nowego pokrycia dachowego (zamiast remontu) o wartości 100 000,00 zł brutto.</w:t>
      </w:r>
    </w:p>
    <w:p w:rsidR="00546805" w:rsidRP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6805">
        <w:rPr>
          <w:rFonts w:asciiTheme="minorHAnsi" w:hAnsiTheme="minorHAnsi"/>
          <w:sz w:val="22"/>
          <w:szCs w:val="22"/>
        </w:rPr>
        <w:t> </w:t>
      </w:r>
    </w:p>
    <w:p w:rsidR="00546805" w:rsidRP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6805">
        <w:rPr>
          <w:rFonts w:asciiTheme="minorHAnsi" w:hAnsiTheme="minorHAnsi"/>
          <w:sz w:val="22"/>
          <w:szCs w:val="22"/>
        </w:rPr>
        <w:t>Pytanie nr 2. </w:t>
      </w:r>
    </w:p>
    <w:p w:rsidR="00546805" w:rsidRP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Zamawiający za zakończone uzna roboty dla których wystawiono Świadectwo Przejęcia lub Protokół Odbioru Końcowego.</w:t>
      </w:r>
      <w:r w:rsidRPr="00E72751">
        <w:rPr>
          <w:rFonts w:asciiTheme="minorHAnsi" w:hAnsiTheme="minorHAnsi" w:cs="Helvetica"/>
          <w:sz w:val="22"/>
          <w:szCs w:val="22"/>
        </w:rPr>
        <w:br/>
      </w: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Czy Zamawiający dopuszcza roboty, dla których wystawiono Poświadczenie Wykonania Robót?</w:t>
      </w: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:rsidR="00E72751" w:rsidRDefault="00F24FBA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43448">
        <w:rPr>
          <w:rFonts w:asciiTheme="minorHAnsi" w:hAnsiTheme="minorHAnsi"/>
          <w:sz w:val="22"/>
          <w:szCs w:val="22"/>
        </w:rPr>
        <w:t>za zakończenie robót uzna roboty, dla których wydano Protokół Odbioru Końcowego oraz Poświadczenie Wykonania Robót.</w:t>
      </w:r>
    </w:p>
    <w:p w:rsidR="00546805" w:rsidRP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6805">
        <w:rPr>
          <w:rFonts w:asciiTheme="minorHAnsi" w:hAnsiTheme="minorHAnsi"/>
          <w:sz w:val="22"/>
          <w:szCs w:val="22"/>
        </w:rPr>
        <w:t> </w:t>
      </w:r>
    </w:p>
    <w:p w:rsidR="00546805" w:rsidRP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6805">
        <w:rPr>
          <w:rFonts w:asciiTheme="minorHAnsi" w:hAnsiTheme="minorHAnsi"/>
          <w:sz w:val="22"/>
          <w:szCs w:val="22"/>
        </w:rPr>
        <w:t>Pytanie nr 3.</w:t>
      </w:r>
    </w:p>
    <w:p w:rsidR="00546805" w:rsidRP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Jeżeli Wykonawca posiada Poświadczenie Wykonania Robót (w tym za roboty dachowe) z łączną kwotą wszystkich robót, czy Zamawiający dopuszcza oświadczenie Wykonawcy o kwocie robót dachowych?</w:t>
      </w: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805" w:rsidRDefault="00546805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Odpowiedź:</w:t>
      </w:r>
    </w:p>
    <w:p w:rsidR="00546805" w:rsidRDefault="00BE233C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F24FBA">
        <w:rPr>
          <w:rFonts w:asciiTheme="minorHAnsi" w:hAnsiTheme="minorHAnsi"/>
          <w:sz w:val="22"/>
          <w:szCs w:val="22"/>
        </w:rPr>
        <w:t>dopuszcza przedstawienie Poświadczenia Wykonania Robót wraz z oświadczeniem dotyczącym kwoty, jaką obejmowały roboty dachowe</w:t>
      </w:r>
      <w:r w:rsidR="00143448">
        <w:rPr>
          <w:rFonts w:asciiTheme="minorHAnsi" w:hAnsiTheme="minorHAnsi"/>
          <w:sz w:val="22"/>
          <w:szCs w:val="22"/>
        </w:rPr>
        <w:t xml:space="preserve"> ujęte w ogólnym rozliczeniu inwestycji.</w:t>
      </w: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Pytanie nr</w:t>
      </w:r>
      <w:r w:rsidR="00A60E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4.</w:t>
      </w: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E72751">
        <w:rPr>
          <w:rFonts w:asciiTheme="minorHAnsi" w:hAnsiTheme="minorHAnsi" w:cs="Helvetica"/>
          <w:sz w:val="22"/>
          <w:szCs w:val="22"/>
          <w:shd w:val="clear" w:color="auto" w:fill="FFFFFF"/>
        </w:rPr>
        <w:t>Czy Zamawiający uzna Poświadczenie Wykonania Robót z II kwartału 2016 roku?</w:t>
      </w: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>Odpowiedź:</w:t>
      </w:r>
    </w:p>
    <w:p w:rsidR="00E72751" w:rsidRPr="00E72751" w:rsidRDefault="00E72751" w:rsidP="00BE233C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>Zamawiający</w:t>
      </w:r>
      <w:r w:rsidR="00F24FBA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dopuszcza przedstawienie poświadczenia Wykonania Robót z II kwartału 2016 r.</w:t>
      </w:r>
    </w:p>
    <w:bookmarkEnd w:id="1"/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60EAA" w:rsidRDefault="00A60EAA" w:rsidP="00A60EA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ZAPYTANIE II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0EAA">
        <w:rPr>
          <w:rFonts w:asciiTheme="minorHAnsi" w:hAnsiTheme="minorHAnsi"/>
          <w:sz w:val="22"/>
          <w:szCs w:val="22"/>
        </w:rPr>
        <w:t>Pytanie nr 1.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W przedmiarze nie jest ujęte rozebranie istniejącego deskowania/łat, proszę o informację czy na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istniejącym dachu do rozbiórki jest tylko blacha z pokrycia?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Default="00143448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Zamawiający zakłada rozbiórkę tylko istniejącego pokrycia dachowego i nie przewiduje wymiany istniejącego deskowania połaci dachowej.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Pytanie nr 2: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Brakuje pozycji dot. rynien i rur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A60EAA">
        <w:rPr>
          <w:rFonts w:asciiTheme="minorHAnsi" w:hAnsiTheme="minorHAnsi" w:cs="DejaVuSansCondensed"/>
          <w:sz w:val="22"/>
          <w:szCs w:val="22"/>
        </w:rPr>
        <w:t xml:space="preserve">spustowych, deski </w:t>
      </w:r>
      <w:proofErr w:type="spellStart"/>
      <w:r w:rsidRPr="00A60EAA">
        <w:rPr>
          <w:rFonts w:asciiTheme="minorHAnsi" w:hAnsiTheme="minorHAnsi" w:cs="DejaVuSansCondensed"/>
          <w:sz w:val="22"/>
          <w:szCs w:val="22"/>
        </w:rPr>
        <w:t>podrynnowej</w:t>
      </w:r>
      <w:proofErr w:type="spellEnd"/>
      <w:r w:rsidRPr="00A60EAA">
        <w:rPr>
          <w:rFonts w:asciiTheme="minorHAnsi" w:hAnsiTheme="minorHAnsi" w:cs="DejaVuSansCondensed"/>
          <w:sz w:val="22"/>
          <w:szCs w:val="22"/>
        </w:rPr>
        <w:t>, Czy te roboty nie wchodzą w zakres przetargu?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Default="00143448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 xml:space="preserve">W przedmiarze robót Zamawiający celowo pominął demontaż i montaż rynien oraz rur spustowych. Obecne rynny i rury spustowe </w:t>
      </w:r>
      <w:proofErr w:type="spellStart"/>
      <w:r>
        <w:rPr>
          <w:rFonts w:asciiTheme="minorHAnsi" w:hAnsiTheme="minorHAnsi" w:cs="DejaVuSansCondensed"/>
          <w:sz w:val="22"/>
          <w:szCs w:val="22"/>
        </w:rPr>
        <w:t>tytanowo-cynkowe</w:t>
      </w:r>
      <w:proofErr w:type="spellEnd"/>
      <w:r>
        <w:rPr>
          <w:rFonts w:asciiTheme="minorHAnsi" w:hAnsiTheme="minorHAnsi" w:cs="DejaVuSansCondensed"/>
          <w:sz w:val="22"/>
          <w:szCs w:val="22"/>
        </w:rPr>
        <w:t xml:space="preserve"> zostały wymienione oraz dostosowane technologicznie do przedmiotowego zadania remontowego przy realizacji inwestycji w 2018 r. pn.: „Termomodernizacja obiektu Szkoły Podstawowej w Kończycach Małych”.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Pytanie nr 3: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Brakuje pozycji dot.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A60EAA">
        <w:rPr>
          <w:rFonts w:asciiTheme="minorHAnsi" w:hAnsiTheme="minorHAnsi" w:cs="DejaVuSansCondensed"/>
          <w:sz w:val="22"/>
          <w:szCs w:val="22"/>
        </w:rPr>
        <w:t>rozbiórek obróbek blacharskich, istniejących okienek/włazów dachowych/kominków wentylacyjnych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Pr="00143448" w:rsidRDefault="00143448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Roboty rozbiórkowe obróbek blacharskich, okienek dachowych, kominków należy uwzględnić                             w pozycji – Rozebranie pokrycia dachowego z blachy nie nadającej się do użytku – 833,46 m</w:t>
      </w:r>
      <w:r>
        <w:rPr>
          <w:rFonts w:asciiTheme="minorHAnsi" w:hAnsiTheme="minorHAnsi" w:cs="DejaVuSansCondensed"/>
          <w:sz w:val="22"/>
          <w:szCs w:val="22"/>
          <w:vertAlign w:val="superscript"/>
        </w:rPr>
        <w:t>2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Pytanie nr 4: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Brakuje pozycji dot. wywozu i utylizacji odpadów, złomu.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Default="00143448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Zamawiający na własny koszt dokona utylizacji odpadów i złomu.</w:t>
      </w: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Pytanie nr 5: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Czy ma być również wykonane docieplenie wełną lub styropianem kominów?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Default="00143448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Zamawiający nie przewiduje docieplenia kominów styropianem lub wełną.</w:t>
      </w:r>
    </w:p>
    <w:p w:rsid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143448" w:rsidRPr="00A60EAA" w:rsidRDefault="00143448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lastRenderedPageBreak/>
        <w:t>Pytanie nr 6: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Czy maszty należy tylko zdemontować, czy zamontować ponownie,</w:t>
      </w:r>
      <w:r>
        <w:rPr>
          <w:rFonts w:asciiTheme="minorHAnsi" w:hAnsiTheme="minorHAnsi" w:cs="DejaVuSansCondensed"/>
          <w:sz w:val="22"/>
          <w:szCs w:val="22"/>
        </w:rPr>
        <w:t xml:space="preserve"> </w:t>
      </w:r>
      <w:r w:rsidRPr="00A60EAA">
        <w:rPr>
          <w:rFonts w:asciiTheme="minorHAnsi" w:hAnsiTheme="minorHAnsi" w:cs="DejaVuSansCondensed"/>
          <w:sz w:val="22"/>
          <w:szCs w:val="22"/>
        </w:rPr>
        <w:t>czy wykonać nowe?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A60EAA" w:rsidRDefault="00083C21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>
        <w:rPr>
          <w:rFonts w:asciiTheme="minorHAnsi" w:hAnsiTheme="minorHAnsi" w:cs="DejaVuSansCondensed"/>
          <w:sz w:val="22"/>
          <w:szCs w:val="22"/>
        </w:rPr>
        <w:t>Maszty należy tylko zdemontować.</w:t>
      </w:r>
    </w:p>
    <w:p w:rsidR="00143448" w:rsidRDefault="00143448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Pytanie nr 7: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Czy pod nowe pokrycie należy zastosować folię/membranę dachową?</w:t>
      </w: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</w:p>
    <w:p w:rsidR="00A60EAA" w:rsidRPr="00A60EAA" w:rsidRDefault="00A60EAA" w:rsidP="00A60E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DejaVuSansCondensed"/>
          <w:sz w:val="22"/>
          <w:szCs w:val="22"/>
        </w:rPr>
      </w:pPr>
      <w:r w:rsidRPr="00A60EAA">
        <w:rPr>
          <w:rFonts w:asciiTheme="minorHAnsi" w:hAnsiTheme="minorHAnsi" w:cs="DejaVuSansCondensed"/>
          <w:sz w:val="22"/>
          <w:szCs w:val="22"/>
        </w:rPr>
        <w:t>Odpowiedź:</w:t>
      </w:r>
    </w:p>
    <w:p w:rsidR="00F24FBA" w:rsidRPr="00143448" w:rsidRDefault="00143448" w:rsidP="00143448">
      <w:pPr>
        <w:spacing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43448">
        <w:rPr>
          <w:rFonts w:asciiTheme="minorHAnsi" w:hAnsiTheme="minorHAnsi"/>
          <w:sz w:val="22"/>
          <w:szCs w:val="22"/>
        </w:rPr>
        <w:t xml:space="preserve">Zamawiający przewiduje zastosowanie folii (membrany dachowej) pod pokrycie, należy uwzględnić w pozycji Pokrycie dachowe blachą ocynkowaną grubości 0,50 mm rozstaw rąbka prostopadłego do okapu 57 cm, blacha ocynkowana, panel dachowy prefabrykowany wraz z elementami uzupełniającymi, </w:t>
      </w:r>
      <w:proofErr w:type="spellStart"/>
      <w:r w:rsidRPr="00143448">
        <w:rPr>
          <w:rFonts w:asciiTheme="minorHAnsi" w:hAnsiTheme="minorHAnsi"/>
          <w:sz w:val="22"/>
          <w:szCs w:val="22"/>
        </w:rPr>
        <w:t>Ral</w:t>
      </w:r>
      <w:proofErr w:type="spellEnd"/>
      <w:r w:rsidRPr="001434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3448">
        <w:rPr>
          <w:rFonts w:asciiTheme="minorHAnsi" w:hAnsiTheme="minorHAnsi"/>
          <w:sz w:val="22"/>
          <w:szCs w:val="22"/>
        </w:rPr>
        <w:t>polister</w:t>
      </w:r>
      <w:proofErr w:type="spellEnd"/>
      <w:r w:rsidRPr="00143448">
        <w:rPr>
          <w:rFonts w:asciiTheme="minorHAnsi" w:hAnsiTheme="minorHAnsi"/>
          <w:sz w:val="22"/>
          <w:szCs w:val="22"/>
        </w:rPr>
        <w:t xml:space="preserve"> standard 050 mm – 833,46 m2</w:t>
      </w:r>
    </w:p>
    <w:p w:rsidR="00A60EAA" w:rsidRDefault="00A60EAA" w:rsidP="00150B3E">
      <w:pPr>
        <w:jc w:val="both"/>
        <w:rPr>
          <w:rFonts w:ascii="Cambria" w:hAnsi="Cambria"/>
          <w:sz w:val="24"/>
          <w:szCs w:val="24"/>
        </w:rPr>
      </w:pPr>
    </w:p>
    <w:p w:rsidR="00A60EAA" w:rsidRPr="00AF145D" w:rsidRDefault="00A60EAA" w:rsidP="00150B3E">
      <w:pPr>
        <w:jc w:val="both"/>
        <w:rPr>
          <w:rFonts w:ascii="Cambria" w:hAnsi="Cambria"/>
          <w:sz w:val="24"/>
          <w:szCs w:val="24"/>
        </w:rPr>
      </w:pPr>
    </w:p>
    <w:p w:rsidR="00546805" w:rsidRPr="00B17A02" w:rsidRDefault="00546805" w:rsidP="00546805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546805" w:rsidRPr="00B17A02" w:rsidRDefault="00546805" w:rsidP="00546805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546805" w:rsidRPr="00EB4274" w:rsidRDefault="00546805" w:rsidP="00546805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36"/>
          <w:szCs w:val="36"/>
        </w:rPr>
      </w:pPr>
    </w:p>
    <w:p w:rsidR="00546805" w:rsidRPr="00B17A02" w:rsidRDefault="00546805" w:rsidP="00546805">
      <w:pPr>
        <w:pStyle w:val="Akapitzlist"/>
        <w:numPr>
          <w:ilvl w:val="0"/>
          <w:numId w:val="10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sectPr w:rsidR="00546805" w:rsidRPr="00B17A02" w:rsidSect="00F24FBA">
      <w:footnotePr>
        <w:pos w:val="beneathText"/>
      </w:footnotePr>
      <w:pgSz w:w="11905" w:h="16837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5F" w:rsidRDefault="001C715F" w:rsidP="00AF04C2">
      <w:r>
        <w:separator/>
      </w:r>
    </w:p>
  </w:endnote>
  <w:endnote w:type="continuationSeparator" w:id="0">
    <w:p w:rsidR="001C715F" w:rsidRDefault="001C715F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5F" w:rsidRDefault="001C715F" w:rsidP="00AF04C2">
      <w:r>
        <w:separator/>
      </w:r>
    </w:p>
  </w:footnote>
  <w:footnote w:type="continuationSeparator" w:id="0">
    <w:p w:rsidR="001C715F" w:rsidRDefault="001C715F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83C21"/>
    <w:rsid w:val="000D487C"/>
    <w:rsid w:val="000E7F4C"/>
    <w:rsid w:val="0011057C"/>
    <w:rsid w:val="001211BB"/>
    <w:rsid w:val="00143448"/>
    <w:rsid w:val="00150B3E"/>
    <w:rsid w:val="001638AD"/>
    <w:rsid w:val="001B1C3A"/>
    <w:rsid w:val="001C715F"/>
    <w:rsid w:val="00220B22"/>
    <w:rsid w:val="00236FCC"/>
    <w:rsid w:val="00237952"/>
    <w:rsid w:val="00254A69"/>
    <w:rsid w:val="002717B8"/>
    <w:rsid w:val="00283521"/>
    <w:rsid w:val="002C0045"/>
    <w:rsid w:val="002C3194"/>
    <w:rsid w:val="002C3DC9"/>
    <w:rsid w:val="00320ACC"/>
    <w:rsid w:val="003277A3"/>
    <w:rsid w:val="0034226A"/>
    <w:rsid w:val="00347018"/>
    <w:rsid w:val="00352321"/>
    <w:rsid w:val="003B0202"/>
    <w:rsid w:val="003F72C9"/>
    <w:rsid w:val="00403FF1"/>
    <w:rsid w:val="00427AB5"/>
    <w:rsid w:val="00453B4D"/>
    <w:rsid w:val="00456A58"/>
    <w:rsid w:val="00460C79"/>
    <w:rsid w:val="004C5495"/>
    <w:rsid w:val="004C5E78"/>
    <w:rsid w:val="004E02F1"/>
    <w:rsid w:val="004E1D7F"/>
    <w:rsid w:val="00506CDE"/>
    <w:rsid w:val="00542BB1"/>
    <w:rsid w:val="00546805"/>
    <w:rsid w:val="0055582A"/>
    <w:rsid w:val="005A7D51"/>
    <w:rsid w:val="005C3397"/>
    <w:rsid w:val="005E4566"/>
    <w:rsid w:val="00637932"/>
    <w:rsid w:val="00656919"/>
    <w:rsid w:val="00666804"/>
    <w:rsid w:val="00677BD7"/>
    <w:rsid w:val="006B5A56"/>
    <w:rsid w:val="006D042E"/>
    <w:rsid w:val="00772B9B"/>
    <w:rsid w:val="007735AC"/>
    <w:rsid w:val="00781BCC"/>
    <w:rsid w:val="007F6B61"/>
    <w:rsid w:val="00801F83"/>
    <w:rsid w:val="00842534"/>
    <w:rsid w:val="00863A1B"/>
    <w:rsid w:val="00890B51"/>
    <w:rsid w:val="008A213A"/>
    <w:rsid w:val="008E2982"/>
    <w:rsid w:val="008E799A"/>
    <w:rsid w:val="008F6963"/>
    <w:rsid w:val="00907577"/>
    <w:rsid w:val="009201DD"/>
    <w:rsid w:val="00941448"/>
    <w:rsid w:val="00946B5E"/>
    <w:rsid w:val="00951CEC"/>
    <w:rsid w:val="009814D1"/>
    <w:rsid w:val="009872F5"/>
    <w:rsid w:val="00A21C2D"/>
    <w:rsid w:val="00A26095"/>
    <w:rsid w:val="00A522FB"/>
    <w:rsid w:val="00A534FE"/>
    <w:rsid w:val="00A547A8"/>
    <w:rsid w:val="00A60EAA"/>
    <w:rsid w:val="00A75AFE"/>
    <w:rsid w:val="00A832E5"/>
    <w:rsid w:val="00AD412B"/>
    <w:rsid w:val="00AE3FC8"/>
    <w:rsid w:val="00AF04C2"/>
    <w:rsid w:val="00AF145D"/>
    <w:rsid w:val="00B0557E"/>
    <w:rsid w:val="00B72021"/>
    <w:rsid w:val="00B82212"/>
    <w:rsid w:val="00BA699E"/>
    <w:rsid w:val="00BA7B80"/>
    <w:rsid w:val="00BB7C95"/>
    <w:rsid w:val="00BE233C"/>
    <w:rsid w:val="00C561BC"/>
    <w:rsid w:val="00C86FA8"/>
    <w:rsid w:val="00C90C51"/>
    <w:rsid w:val="00D12BEA"/>
    <w:rsid w:val="00D15894"/>
    <w:rsid w:val="00D8065B"/>
    <w:rsid w:val="00DB6222"/>
    <w:rsid w:val="00DD2589"/>
    <w:rsid w:val="00DD4595"/>
    <w:rsid w:val="00E20B29"/>
    <w:rsid w:val="00E23752"/>
    <w:rsid w:val="00E36752"/>
    <w:rsid w:val="00E46C80"/>
    <w:rsid w:val="00E542D6"/>
    <w:rsid w:val="00E72751"/>
    <w:rsid w:val="00ED043F"/>
    <w:rsid w:val="00EE472B"/>
    <w:rsid w:val="00EF07C6"/>
    <w:rsid w:val="00F24FBA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C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B51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2021-06-01T10:54:00Z</dcterms:created>
  <dcterms:modified xsi:type="dcterms:W3CDTF">2021-06-17T10:01:00Z</dcterms:modified>
</cp:coreProperties>
</file>