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8C58E6" w:rsidRPr="00CD23F6" w14:paraId="6818F7DC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C2DDA9" w14:textId="77777777" w:rsidR="008C58E6" w:rsidRPr="00CD23F6" w:rsidRDefault="008C58E6" w:rsidP="00CD23F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CD23F6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  <w:r w:rsidR="00307775" w:rsidRPr="00CD23F6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  <w:p w14:paraId="50BE9E8B" w14:textId="77777777" w:rsidR="00757484" w:rsidRPr="00CD23F6" w:rsidRDefault="00757484" w:rsidP="00CD23F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</w:p>
          <w:p w14:paraId="252E2F5A" w14:textId="77777777" w:rsidR="008C58E6" w:rsidRPr="0008684C" w:rsidRDefault="0008684C" w:rsidP="00CD23F6">
            <w:pPr>
              <w:suppressAutoHyphens/>
              <w:autoSpaceDN w:val="0"/>
              <w:spacing w:line="288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8684C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Dostawa, instalacja i uruchomienie stołu operacyjnego (1 sztuka) z wyposażeniem wraz ze szkoleniem personelu </w:t>
            </w:r>
          </w:p>
          <w:p w14:paraId="7B683728" w14:textId="19DBED60" w:rsidR="0008684C" w:rsidRPr="00CD23F6" w:rsidRDefault="0008684C" w:rsidP="00CD23F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20E9965B" w14:textId="77777777" w:rsidR="008C58E6" w:rsidRPr="00CD23F6" w:rsidRDefault="008C58E6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3C39D5F5" w14:textId="77777777" w:rsidR="008C58E6" w:rsidRPr="00CD23F6" w:rsidRDefault="008C58E6" w:rsidP="00CD23F6">
      <w:pPr>
        <w:tabs>
          <w:tab w:val="left" w:pos="2375"/>
        </w:tabs>
        <w:spacing w:line="288" w:lineRule="auto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11D1FAFD" w14:textId="77777777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F966D5D" w14:textId="77777777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8EE5E22" w14:textId="77777777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B9DED8F" w14:textId="5B09CDFA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</w:t>
      </w:r>
      <w:proofErr w:type="spellStart"/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str</w:t>
      </w:r>
      <w:proofErr w:type="spellEnd"/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w ofercie, plik]” w przypadku wyrażenia "nie dotyczy" potwierdzenie w materiałach firmowych nie jest konieczne, natomiast w pozostałych przypadkach wykonawca </w:t>
      </w:r>
      <w:r w:rsidR="00D911DD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winien w tej kolumnie wskazać</w:t>
      </w: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, gdzie w materiałach firmowych znajduje się parametr zadeklarowany w kolumnie "parametr oferowany".</w:t>
      </w:r>
    </w:p>
    <w:p w14:paraId="34AF4B0F" w14:textId="77777777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43DF5C8F" w14:textId="77777777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="008207BD" w:rsidRPr="00CD23F6">
        <w:rPr>
          <w:rFonts w:ascii="Century Gothic" w:hAnsi="Century Gothic" w:cstheme="minorHAnsi"/>
          <w:sz w:val="20"/>
          <w:szCs w:val="20"/>
          <w:lang w:eastAsia="pl-PL"/>
        </w:rPr>
        <w:t>202</w:t>
      </w:r>
      <w:r w:rsidR="007D2118" w:rsidRPr="00CD23F6">
        <w:rPr>
          <w:rFonts w:ascii="Century Gothic" w:hAnsi="Century Gothic" w:cstheme="minorHAnsi"/>
          <w:sz w:val="20"/>
          <w:szCs w:val="20"/>
          <w:lang w:eastAsia="pl-PL"/>
        </w:rPr>
        <w:t>3</w:t>
      </w: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rekondycjonowanym</w:t>
      </w:r>
      <w:proofErr w:type="spellEnd"/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7E46DCE2" w14:textId="31A6F79E" w:rsidR="00AA1758" w:rsidRPr="00D911DD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Brak potwierdzenia w materiałach firmowych zakresu większego niż wymagany, pomimo jego wskazania w kolumnie „Parametr oferowany”, </w:t>
      </w:r>
      <w:r w:rsidR="00723D75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</w:t>
      </w: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spowoduje nie przyznanie punktów za ten parametr.</w:t>
      </w:r>
    </w:p>
    <w:p w14:paraId="4806A730" w14:textId="4905B41A" w:rsidR="00D911DD" w:rsidRDefault="00D911DD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ADB326B" w14:textId="0CB2CF38" w:rsidR="00D911DD" w:rsidRDefault="00D911DD">
      <w:pPr>
        <w:spacing w:after="160" w:line="259" w:lineRule="auto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br w:type="page"/>
      </w:r>
    </w:p>
    <w:p w14:paraId="7F94C2F5" w14:textId="3DB64F8F" w:rsidR="008C58E6" w:rsidRPr="00D911DD" w:rsidRDefault="00D911DD" w:rsidP="00D911DD">
      <w:pPr>
        <w:spacing w:after="160" w:line="259" w:lineRule="auto"/>
        <w:rPr>
          <w:rFonts w:ascii="Century Gothic" w:hAnsi="Century Gothic"/>
          <w:b/>
          <w:sz w:val="20"/>
          <w:szCs w:val="20"/>
        </w:rPr>
      </w:pPr>
      <w:r w:rsidRPr="002057D4">
        <w:rPr>
          <w:rFonts w:ascii="Century Gothic" w:hAnsi="Century Gothic"/>
          <w:b/>
          <w:sz w:val="20"/>
          <w:szCs w:val="20"/>
        </w:rPr>
        <w:lastRenderedPageBreak/>
        <w:t>TABELA WYCENY: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495"/>
        <w:gridCol w:w="1276"/>
        <w:gridCol w:w="3575"/>
      </w:tblGrid>
      <w:tr w:rsidR="008C58E6" w:rsidRPr="00CD23F6" w14:paraId="607811F4" w14:textId="77777777" w:rsidTr="00D911DD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0830C3" w14:textId="77777777" w:rsidR="008C58E6" w:rsidRPr="00CD23F6" w:rsidRDefault="008C58E6" w:rsidP="00D911DD">
            <w:pPr>
              <w:spacing w:line="288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D23F6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4350C7" w14:textId="77777777" w:rsidR="008C58E6" w:rsidRPr="00CD23F6" w:rsidRDefault="008C58E6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D23F6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7EB504" w14:textId="77777777" w:rsidR="008C58E6" w:rsidRPr="00CD23F6" w:rsidRDefault="008C58E6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D23F6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Liczba </w:t>
            </w:r>
            <w:r w:rsidR="00FA4027" w:rsidRPr="00CD23F6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F3224F" w14:textId="77777777" w:rsidR="008C58E6" w:rsidRPr="00CD23F6" w:rsidRDefault="00E66ACD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Cena  (brutto</w:t>
            </w:r>
            <w:r w:rsidRPr="008F0EE7">
              <w:t xml:space="preserve"> </w:t>
            </w: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 zł)</w:t>
            </w:r>
          </w:p>
        </w:tc>
      </w:tr>
      <w:tr w:rsidR="000D71E7" w:rsidRPr="00CD23F6" w14:paraId="0792EEA7" w14:textId="77777777" w:rsidTr="00D911DD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55B500" w14:textId="77777777" w:rsidR="000D71E7" w:rsidRPr="00CD23F6" w:rsidRDefault="000D71E7" w:rsidP="00D911DD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D23F6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0DA866" w14:textId="25691CE1" w:rsidR="000D71E7" w:rsidRPr="00CD23F6" w:rsidRDefault="00D911DD" w:rsidP="00D911DD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911DD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Cena brutto* za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s</w:t>
            </w:r>
            <w:r w:rsidR="000D71E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tół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operacyjny (</w:t>
            </w:r>
            <w:r w:rsidR="000D71E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ogólnochirurgiczny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)</w:t>
            </w:r>
            <w:r w:rsidR="000D71E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z wyposażeniem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2445E" w14:textId="77777777" w:rsidR="000D71E7" w:rsidRPr="00CD23F6" w:rsidRDefault="000D71E7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5B8E4" w14:textId="77777777" w:rsidR="000D71E7" w:rsidRPr="00CD23F6" w:rsidRDefault="000D71E7" w:rsidP="00CD23F6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0D71E7" w:rsidRPr="00CD23F6" w14:paraId="0FAD2BDE" w14:textId="77777777" w:rsidTr="00D911DD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DA3EC2" w14:textId="77777777" w:rsidR="000D71E7" w:rsidRPr="00CD23F6" w:rsidRDefault="000D71E7" w:rsidP="00D911DD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D23F6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653E6" w14:textId="714BFAAA" w:rsidR="000D71E7" w:rsidRPr="00CD23F6" w:rsidRDefault="00D911DD" w:rsidP="00CD23F6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911DD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Cena brutto* za dostawę, instalację i uruchomienie całego sprzętu wraz ze wszystkimi szkoleniami personelu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539B" w14:textId="77777777" w:rsidR="000D71E7" w:rsidRPr="00CD23F6" w:rsidRDefault="000D71E7" w:rsidP="00CD23F6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307775" w:rsidRPr="00CD23F6" w14:paraId="5F224EF2" w14:textId="77777777" w:rsidTr="00D911DD">
        <w:trPr>
          <w:trHeight w:val="64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B18536" w14:textId="181EA409" w:rsidR="00D911DD" w:rsidRPr="00D911DD" w:rsidRDefault="00D911DD" w:rsidP="00D911DD">
            <w:pPr>
              <w:spacing w:line="288" w:lineRule="auto"/>
              <w:jc w:val="right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Razem – suma poz. 1-2</w:t>
            </w:r>
            <w:r w:rsidRPr="00D911DD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08C0AA05" w14:textId="22504621" w:rsidR="00307775" w:rsidRPr="00D911DD" w:rsidRDefault="00D911DD" w:rsidP="00D911DD">
            <w:pPr>
              <w:spacing w:line="288" w:lineRule="auto"/>
              <w:jc w:val="right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911D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(suma cen za cały sprzęt i cen za dostawę, instalację i uruchomieniem całego sprzętu i wszystkich szkoleń personelu)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29FA" w14:textId="77777777" w:rsidR="00307775" w:rsidRPr="00CD23F6" w:rsidRDefault="00307775" w:rsidP="00CD23F6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23B8A75" w14:textId="77777777" w:rsidR="00307775" w:rsidRPr="00CD23F6" w:rsidRDefault="00307775" w:rsidP="00CD23F6">
      <w:pPr>
        <w:tabs>
          <w:tab w:val="left" w:pos="8985"/>
        </w:tabs>
        <w:spacing w:line="288" w:lineRule="auto"/>
        <w:rPr>
          <w:rFonts w:ascii="Century Gothic" w:hAnsi="Century Gothic" w:cstheme="minorBidi"/>
          <w:sz w:val="20"/>
          <w:szCs w:val="20"/>
          <w:lang w:eastAsia="en-US"/>
        </w:rPr>
      </w:pPr>
    </w:p>
    <w:p w14:paraId="013B7D9B" w14:textId="77777777" w:rsidR="00307775" w:rsidRPr="00D911DD" w:rsidRDefault="00307775" w:rsidP="00CD23F6">
      <w:pPr>
        <w:spacing w:line="288" w:lineRule="auto"/>
        <w:rPr>
          <w:rFonts w:ascii="Century Gothic" w:hAnsi="Century Gothic" w:cs="Calibri Light"/>
          <w:i/>
          <w:sz w:val="20"/>
          <w:szCs w:val="20"/>
        </w:rPr>
      </w:pPr>
      <w:r w:rsidRPr="00D911DD">
        <w:rPr>
          <w:rFonts w:ascii="Century Gothic" w:hAnsi="Century Gothic" w:cs="Calibri Light"/>
          <w:i/>
          <w:sz w:val="20"/>
          <w:szCs w:val="20"/>
        </w:rPr>
        <w:t>* jeżeli wybór oferty będzie prowadził do powstania u Zamawiającego obowiązku podatkowego, zgodnie z przepisami o podatku od towarów i usług, należy podać cenę netto.</w:t>
      </w:r>
    </w:p>
    <w:p w14:paraId="624E4147" w14:textId="77777777" w:rsidR="00307775" w:rsidRPr="00CD23F6" w:rsidRDefault="00307775" w:rsidP="00CD23F6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6F2B33CE" w14:textId="77777777" w:rsidR="00307775" w:rsidRPr="00CD23F6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76F6A88" w14:textId="77777777" w:rsidR="00307775" w:rsidRPr="00CD23F6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3856D79F" w14:textId="77777777" w:rsidR="00307775" w:rsidRPr="00CD23F6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769ABE08" w14:textId="77777777" w:rsidR="00307775" w:rsidRPr="00CD23F6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2023):  …....................................................</w:t>
      </w:r>
    </w:p>
    <w:p w14:paraId="29793FDB" w14:textId="77777777" w:rsidR="00307775" w:rsidRPr="00CD23F6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14:paraId="5357D549" w14:textId="10391781" w:rsidR="004B12A2" w:rsidRDefault="004B12A2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121BEBCF" w14:textId="6F1148A2" w:rsidR="004B12A2" w:rsidRPr="00CD23F6" w:rsidRDefault="00D911DD" w:rsidP="00D911DD">
      <w:pPr>
        <w:spacing w:after="160" w:line="259" w:lineRule="auto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br w:type="page"/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10"/>
      </w:tblGrid>
      <w:tr w:rsidR="008C58E6" w:rsidRPr="00CD23F6" w14:paraId="245AF023" w14:textId="77777777" w:rsidTr="00043412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2FA7" w14:textId="77777777" w:rsidR="008C58E6" w:rsidRPr="00CD23F6" w:rsidRDefault="008C58E6" w:rsidP="00CD23F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D23F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4FBB39B8" w14:textId="77777777" w:rsidR="008C58E6" w:rsidRPr="00CD23F6" w:rsidRDefault="008C58E6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5813"/>
        <w:gridCol w:w="1133"/>
        <w:gridCol w:w="3119"/>
        <w:gridCol w:w="2126"/>
        <w:gridCol w:w="2552"/>
      </w:tblGrid>
      <w:tr w:rsidR="008C58E6" w:rsidRPr="00C56F41" w14:paraId="26913448" w14:textId="77777777" w:rsidTr="00043412">
        <w:tc>
          <w:tcPr>
            <w:tcW w:w="567" w:type="dxa"/>
            <w:vAlign w:val="center"/>
            <w:hideMark/>
          </w:tcPr>
          <w:bookmarkEnd w:id="0"/>
          <w:p w14:paraId="5CA21ADD" w14:textId="77777777" w:rsidR="008C58E6" w:rsidRPr="0078164B" w:rsidRDefault="008C58E6" w:rsidP="00C56F4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5813" w:type="dxa"/>
            <w:vAlign w:val="center"/>
            <w:hideMark/>
          </w:tcPr>
          <w:p w14:paraId="51ED7404" w14:textId="77777777" w:rsidR="008C58E6" w:rsidRPr="005E36D0" w:rsidRDefault="008C58E6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E36D0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</w:t>
            </w:r>
          </w:p>
        </w:tc>
        <w:tc>
          <w:tcPr>
            <w:tcW w:w="1133" w:type="dxa"/>
            <w:vAlign w:val="center"/>
            <w:hideMark/>
          </w:tcPr>
          <w:p w14:paraId="1D888E3A" w14:textId="77777777" w:rsidR="008C58E6" w:rsidRPr="0078164B" w:rsidRDefault="008C58E6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 / wartość</w:t>
            </w:r>
          </w:p>
        </w:tc>
        <w:tc>
          <w:tcPr>
            <w:tcW w:w="3119" w:type="dxa"/>
            <w:vAlign w:val="center"/>
            <w:hideMark/>
          </w:tcPr>
          <w:p w14:paraId="1AC51992" w14:textId="77777777" w:rsidR="008C58E6" w:rsidRPr="0078164B" w:rsidRDefault="008C58E6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oferowany</w:t>
            </w:r>
          </w:p>
        </w:tc>
        <w:tc>
          <w:tcPr>
            <w:tcW w:w="2126" w:type="dxa"/>
            <w:vAlign w:val="center"/>
          </w:tcPr>
          <w:p w14:paraId="1672A8FE" w14:textId="580275D5" w:rsidR="008C58E6" w:rsidRPr="0078164B" w:rsidRDefault="0078164B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 w:cstheme="minorHAnsi"/>
                <w:b/>
                <w:bCs/>
                <w:kern w:val="2"/>
                <w:sz w:val="18"/>
                <w:szCs w:val="18"/>
              </w:rPr>
              <w:t>Lokalizacja w materiałach firmowych potwierdzenia parametru [str. w ofercie, plik]</w:t>
            </w:r>
          </w:p>
        </w:tc>
        <w:tc>
          <w:tcPr>
            <w:tcW w:w="2552" w:type="dxa"/>
            <w:vAlign w:val="center"/>
            <w:hideMark/>
          </w:tcPr>
          <w:p w14:paraId="47C9DF88" w14:textId="77777777" w:rsidR="008C58E6" w:rsidRPr="0078164B" w:rsidRDefault="008C58E6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SPOSÓB OCENY</w:t>
            </w:r>
          </w:p>
        </w:tc>
      </w:tr>
      <w:tr w:rsidR="00C56F41" w:rsidRPr="00CD23F6" w14:paraId="588BAEEF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F79C3" w14:textId="77777777" w:rsidR="00C56F41" w:rsidRPr="0078164B" w:rsidRDefault="00C56F41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3A3EEBE2" w14:textId="77777777" w:rsidR="00C56F41" w:rsidRPr="005E36D0" w:rsidRDefault="004B12A2" w:rsidP="0078164B">
            <w:p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Stół operacyjny ogólnochirurgiczny mobilny na podstawie jezdnej z min. 4 pod</w:t>
            </w:r>
            <w:r w:rsidR="00564468" w:rsidRPr="005E36D0">
              <w:rPr>
                <w:rFonts w:ascii="Century Gothic" w:hAnsi="Century Gothic" w:cs="Arial"/>
                <w:sz w:val="18"/>
                <w:szCs w:val="18"/>
              </w:rPr>
              <w:t xml:space="preserve">wójnymi lub pojedynczymi kołami oraz dodatkowym 5 pojedynczym kołem kierunkowym </w:t>
            </w:r>
          </w:p>
        </w:tc>
        <w:tc>
          <w:tcPr>
            <w:tcW w:w="1133" w:type="dxa"/>
          </w:tcPr>
          <w:p w14:paraId="1AEBFFDE" w14:textId="11B93C67" w:rsidR="00C56F41" w:rsidRPr="0078164B" w:rsidRDefault="00564468" w:rsidP="0078164B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164B">
              <w:rPr>
                <w:rFonts w:ascii="Century Gothic" w:hAnsi="Century Gothic"/>
                <w:sz w:val="18"/>
                <w:szCs w:val="18"/>
              </w:rPr>
              <w:t>Tak</w:t>
            </w:r>
            <w:r w:rsidR="00F83963" w:rsidRPr="0078164B">
              <w:rPr>
                <w:rFonts w:ascii="Century Gothic" w:hAnsi="Century Gothic"/>
                <w:sz w:val="18"/>
                <w:szCs w:val="18"/>
              </w:rPr>
              <w:t>, podać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3950D" w14:textId="77777777" w:rsidR="00C56F41" w:rsidRPr="0078164B" w:rsidRDefault="00C56F41" w:rsidP="0078164B">
            <w:pPr>
              <w:spacing w:line="288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C3A16C5" w14:textId="77777777" w:rsidR="00C56F41" w:rsidRPr="0078164B" w:rsidRDefault="00C56F41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0B8877DC" w14:textId="160B1198" w:rsidR="00564468" w:rsidRPr="0078164B" w:rsidRDefault="00B85C02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Stół z 4 pojedynczymi kołami  z</w:t>
            </w:r>
            <w:r w:rsidR="00CE554D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dodatkowym 5 kołem kierunkowym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564468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- 2 pkt.</w:t>
            </w:r>
          </w:p>
          <w:p w14:paraId="0D6AE2CE" w14:textId="4953A5FC" w:rsidR="00C56F41" w:rsidRPr="0078164B" w:rsidRDefault="00391167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Stół z 4 podwójnymi </w:t>
            </w:r>
            <w:r w:rsidR="00B85C02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kołami i 5 dodatkowym </w:t>
            </w:r>
            <w:r w:rsidR="00564468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-</w:t>
            </w:r>
            <w:r w:rsidR="00CE554D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564468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0 pkt.</w:t>
            </w:r>
          </w:p>
        </w:tc>
      </w:tr>
      <w:tr w:rsidR="00DD6964" w:rsidRPr="00CD23F6" w14:paraId="673AD286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2E636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2D0661DC" w14:textId="77777777" w:rsidR="00DD6964" w:rsidRPr="005E36D0" w:rsidRDefault="00DD6964" w:rsidP="0078164B">
            <w:p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Wymiary stołu: długość – min. 196 [cm], szerokość z szynami bocznymi: min. 55 [cm]</w:t>
            </w:r>
          </w:p>
        </w:tc>
        <w:tc>
          <w:tcPr>
            <w:tcW w:w="1133" w:type="dxa"/>
          </w:tcPr>
          <w:p w14:paraId="68E51042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164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DB4EE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02D917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254F1DE6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2C56152C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B53F1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05C028A9" w14:textId="77777777" w:rsidR="00DD6964" w:rsidRPr="005E36D0" w:rsidRDefault="00DD6964" w:rsidP="0078164B">
            <w:p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Konstrukcja blatu modułowa pozwalająca na dobór odpowiedniej konfiguracji i długości blatu w zależności od rodzaju zabiegu</w:t>
            </w:r>
          </w:p>
        </w:tc>
        <w:tc>
          <w:tcPr>
            <w:tcW w:w="1133" w:type="dxa"/>
          </w:tcPr>
          <w:p w14:paraId="37E48248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164B">
              <w:rPr>
                <w:rFonts w:ascii="Century Gothic" w:hAnsi="Century Gothic"/>
                <w:sz w:val="18"/>
                <w:szCs w:val="18"/>
              </w:rPr>
              <w:t>Tak/Nie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6E869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EEDF56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08FA9BE5" w14:textId="3C578C1E" w:rsidR="00DD6964" w:rsidRPr="0078164B" w:rsidRDefault="00DD6964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- 5 pkt.</w:t>
            </w:r>
          </w:p>
          <w:p w14:paraId="113B55C5" w14:textId="6A258B9D" w:rsidR="00DD6964" w:rsidRPr="0078164B" w:rsidRDefault="00DD6964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-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0 pkt.</w:t>
            </w:r>
          </w:p>
        </w:tc>
      </w:tr>
      <w:tr w:rsidR="00DD6964" w:rsidRPr="00CD23F6" w14:paraId="7289B49B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71212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1CE4F8A3" w14:textId="5763AF84" w:rsidR="00DD6964" w:rsidRPr="005E36D0" w:rsidRDefault="00DD6964" w:rsidP="00CE554D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Konstrukcja modularna, umożliwiająca zamianę części plecowej z częścią podnóżków oraz instalację elementów plecowych i nożnych o różnych kształtach i wymiarach</w:t>
            </w:r>
          </w:p>
        </w:tc>
        <w:tc>
          <w:tcPr>
            <w:tcW w:w="1133" w:type="dxa"/>
          </w:tcPr>
          <w:p w14:paraId="17234FB2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164B">
              <w:rPr>
                <w:rFonts w:ascii="Century Gothic" w:hAnsi="Century Gothic"/>
                <w:sz w:val="18"/>
                <w:szCs w:val="18"/>
              </w:rPr>
              <w:t>Tak/Nie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52845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D6B949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488ECD4E" w14:textId="2C4E75A7" w:rsidR="00DD6964" w:rsidRPr="0078164B" w:rsidRDefault="00DD6964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- 5 pkt.</w:t>
            </w:r>
          </w:p>
          <w:p w14:paraId="2967147C" w14:textId="4A2D4417" w:rsidR="00DD6964" w:rsidRPr="0078164B" w:rsidRDefault="00DD6964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-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0 pkt.</w:t>
            </w:r>
          </w:p>
        </w:tc>
      </w:tr>
      <w:tr w:rsidR="00DD6964" w:rsidRPr="00CD23F6" w14:paraId="7EEC32B0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29D2A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07962692" w14:textId="58D1779A" w:rsidR="00DD6964" w:rsidRPr="005E36D0" w:rsidRDefault="00DD6964" w:rsidP="00CE554D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Napęd stołu elektrohydrauliczny i/</w:t>
            </w:r>
            <w:r w:rsidR="00CE554D"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</w:t>
            </w: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lub elektromechaniczny</w:t>
            </w:r>
          </w:p>
        </w:tc>
        <w:tc>
          <w:tcPr>
            <w:tcW w:w="1133" w:type="dxa"/>
          </w:tcPr>
          <w:p w14:paraId="26527267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164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B9835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60B0B56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10BEB32B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1A0182E1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18160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25AD0808" w14:textId="77777777" w:rsidR="00DD6964" w:rsidRPr="005E36D0" w:rsidRDefault="00DD6964" w:rsidP="0078164B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Stół blokowany do podłoża :</w:t>
            </w:r>
          </w:p>
          <w:p w14:paraId="7A19F1AC" w14:textId="77777777" w:rsidR="00DD6964" w:rsidRPr="005E36D0" w:rsidRDefault="00DD6964" w:rsidP="0078164B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- za pomocą elektrohydraulicznych/ elektromechanicznych stopek lub </w:t>
            </w:r>
          </w:p>
          <w:p w14:paraId="0A20C466" w14:textId="727BDE93" w:rsidR="00DD6964" w:rsidRPr="006603DD" w:rsidRDefault="00DD6964" w:rsidP="006603DD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- za pomocą  centralnego hamulca </w:t>
            </w:r>
          </w:p>
        </w:tc>
        <w:tc>
          <w:tcPr>
            <w:tcW w:w="1133" w:type="dxa"/>
          </w:tcPr>
          <w:p w14:paraId="261B42E4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164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1E364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ADD66DE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AC03015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52504D55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69EC5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6405CBC6" w14:textId="77777777" w:rsidR="00DD6964" w:rsidRPr="005E36D0" w:rsidRDefault="00DD6964" w:rsidP="0078164B">
            <w:p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Podstawa (kształt i konstrukcja) ułatwiająca personelowi medycznemu dostęp do pacjenta ze wszystkich stron.</w:t>
            </w:r>
          </w:p>
        </w:tc>
        <w:tc>
          <w:tcPr>
            <w:tcW w:w="1133" w:type="dxa"/>
          </w:tcPr>
          <w:p w14:paraId="4D674D76" w14:textId="77777777" w:rsidR="00DD6964" w:rsidRPr="0078164B" w:rsidRDefault="001433C6" w:rsidP="0078164B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164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37C3D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91F7DD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6FDED2F7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566D65CC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2147F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0E08FB6B" w14:textId="77777777" w:rsidR="00DD6964" w:rsidRPr="005E36D0" w:rsidRDefault="00DD6964" w:rsidP="0078164B">
            <w:p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System </w:t>
            </w:r>
            <w:proofErr w:type="spellStart"/>
            <w:r w:rsidRPr="005E36D0">
              <w:rPr>
                <w:rFonts w:ascii="Century Gothic" w:hAnsi="Century Gothic" w:cs="Arial"/>
                <w:sz w:val="18"/>
                <w:szCs w:val="18"/>
              </w:rPr>
              <w:t>autokompensacji</w:t>
            </w:r>
            <w:proofErr w:type="spellEnd"/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 nierówności podłoża, automatycznie niwelujący nierówności podłoża lub samo stabilizujące się koła.</w:t>
            </w:r>
          </w:p>
        </w:tc>
        <w:tc>
          <w:tcPr>
            <w:tcW w:w="1133" w:type="dxa"/>
          </w:tcPr>
          <w:p w14:paraId="09A202F4" w14:textId="0A4EF3FE" w:rsidR="00DD6964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7FE45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5C2564F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3B760C36" w14:textId="26916D98" w:rsidR="001433C6" w:rsidRPr="0078164B" w:rsidRDefault="001433C6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- 5 pkt.</w:t>
            </w:r>
          </w:p>
          <w:p w14:paraId="3ABF42AB" w14:textId="0D260322" w:rsidR="00DD6964" w:rsidRPr="0078164B" w:rsidRDefault="001433C6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-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0 pkt.</w:t>
            </w:r>
          </w:p>
        </w:tc>
      </w:tr>
      <w:tr w:rsidR="00DD6964" w:rsidRPr="00CD23F6" w14:paraId="2E20F01F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72E7B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68EF09AF" w14:textId="6B69E97C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Stół wyposażony w pilot sterujący</w:t>
            </w:r>
            <w:r w:rsidR="000D71E7" w:rsidRPr="005E36D0">
              <w:rPr>
                <w:rFonts w:ascii="Century Gothic" w:hAnsi="Century Gothic" w:cs="Arial"/>
                <w:sz w:val="18"/>
                <w:szCs w:val="18"/>
              </w:rPr>
              <w:t xml:space="preserve"> wyposażony w dotykowy, </w:t>
            </w:r>
            <w:r w:rsidR="009B089D" w:rsidRPr="009B089D">
              <w:rPr>
                <w:rFonts w:ascii="Century Gothic" w:hAnsi="Century Gothic" w:cs="Arial"/>
                <w:bCs/>
                <w:sz w:val="18"/>
                <w:szCs w:val="18"/>
                <w:highlight w:val="yellow"/>
              </w:rPr>
              <w:t>ciekłokrystaliczny</w:t>
            </w:r>
            <w:r w:rsidR="000D71E7" w:rsidRPr="005E36D0">
              <w:rPr>
                <w:rFonts w:ascii="Century Gothic" w:hAnsi="Century Gothic" w:cs="Arial"/>
                <w:sz w:val="18"/>
                <w:szCs w:val="18"/>
              </w:rPr>
              <w:t xml:space="preserve"> ekran. </w:t>
            </w:r>
          </w:p>
        </w:tc>
        <w:tc>
          <w:tcPr>
            <w:tcW w:w="1133" w:type="dxa"/>
          </w:tcPr>
          <w:p w14:paraId="35537915" w14:textId="77777777" w:rsidR="00DD6964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8F3CB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158D926F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73375E13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1433C6" w:rsidRPr="00CD23F6" w14:paraId="08B41728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89A6C" w14:textId="77777777" w:rsidR="001433C6" w:rsidRPr="0078164B" w:rsidRDefault="001433C6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1F38EDD0" w14:textId="359375BA" w:rsidR="001433C6" w:rsidRPr="005E36D0" w:rsidRDefault="001433C6" w:rsidP="0078164B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Blat stołu przezierny dla promieniowania RTG -przystosowany do monitorowania ramieniem</w:t>
            </w:r>
            <w:r w:rsidR="00CE554D"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C.</w:t>
            </w: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Brak umiejscowienia poprzeczek wzmacniających mogących przesłaniać obraz RTG, dopuszcza się częściową nieprzezierność  segmentu przedłużenia pleców lub zagłówka</w:t>
            </w:r>
          </w:p>
        </w:tc>
        <w:tc>
          <w:tcPr>
            <w:tcW w:w="1133" w:type="dxa"/>
          </w:tcPr>
          <w:p w14:paraId="66081076" w14:textId="77777777" w:rsidR="001433C6" w:rsidRPr="0078164B" w:rsidRDefault="001433C6" w:rsidP="0078164B">
            <w:pPr>
              <w:jc w:val="center"/>
              <w:rPr>
                <w:sz w:val="18"/>
                <w:szCs w:val="18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C7F25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03568716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298905E6" w14:textId="77777777" w:rsidR="001433C6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1433C6" w:rsidRPr="00CD23F6" w14:paraId="5D1CCB43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921C2" w14:textId="77777777" w:rsidR="001433C6" w:rsidRPr="0078164B" w:rsidRDefault="001433C6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2DC11394" w14:textId="77777777" w:rsidR="001433C6" w:rsidRPr="005E36D0" w:rsidRDefault="001433C6" w:rsidP="0078164B">
            <w:pPr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Możliwość ułożenia pacjenta w kilku pozycjach, min.:</w:t>
            </w:r>
          </w:p>
          <w:p w14:paraId="6318D13B" w14:textId="77777777" w:rsidR="001433C6" w:rsidRPr="005E36D0" w:rsidRDefault="001433C6" w:rsidP="0078164B">
            <w:pPr>
              <w:pStyle w:val="TableContents"/>
              <w:numPr>
                <w:ilvl w:val="0"/>
                <w:numId w:val="11"/>
              </w:numPr>
              <w:spacing w:line="26" w:lineRule="atLeast"/>
              <w:ind w:left="275" w:hanging="142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leżącej,</w:t>
            </w:r>
          </w:p>
          <w:p w14:paraId="4A1FB4AD" w14:textId="77777777" w:rsidR="001433C6" w:rsidRPr="005E36D0" w:rsidRDefault="001433C6" w:rsidP="0078164B">
            <w:pPr>
              <w:pStyle w:val="TableContents"/>
              <w:numPr>
                <w:ilvl w:val="0"/>
                <w:numId w:val="11"/>
              </w:numPr>
              <w:spacing w:line="26" w:lineRule="atLeast"/>
              <w:ind w:left="275" w:hanging="142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siedzącej,</w:t>
            </w:r>
          </w:p>
          <w:p w14:paraId="3D632E6F" w14:textId="77777777" w:rsidR="001433C6" w:rsidRPr="005E36D0" w:rsidRDefault="001433C6" w:rsidP="0078164B">
            <w:pPr>
              <w:pStyle w:val="TableContents"/>
              <w:numPr>
                <w:ilvl w:val="0"/>
                <w:numId w:val="11"/>
              </w:numPr>
              <w:spacing w:line="26" w:lineRule="atLeast"/>
              <w:ind w:left="275" w:hanging="142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bocznej</w:t>
            </w:r>
          </w:p>
        </w:tc>
        <w:tc>
          <w:tcPr>
            <w:tcW w:w="1133" w:type="dxa"/>
          </w:tcPr>
          <w:p w14:paraId="20F92D25" w14:textId="77777777" w:rsidR="001433C6" w:rsidRPr="0078164B" w:rsidRDefault="001433C6" w:rsidP="0078164B">
            <w:pPr>
              <w:jc w:val="center"/>
              <w:rPr>
                <w:sz w:val="18"/>
                <w:szCs w:val="18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5AF99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166E3B2E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1DE108D6" w14:textId="77777777" w:rsidR="001433C6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1433C6" w:rsidRPr="00CD23F6" w14:paraId="017C8D81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EBB28" w14:textId="77777777" w:rsidR="001433C6" w:rsidRPr="0078164B" w:rsidRDefault="001433C6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2E4EC400" w14:textId="77777777" w:rsidR="001433C6" w:rsidRPr="005E36D0" w:rsidRDefault="001433C6" w:rsidP="0078164B">
            <w:pPr>
              <w:pStyle w:val="Standard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Blat stołu dzielony na min. 5 segmentów:</w:t>
            </w:r>
          </w:p>
          <w:p w14:paraId="1EC1FF01" w14:textId="77777777" w:rsidR="001433C6" w:rsidRPr="005E36D0" w:rsidRDefault="001433C6" w:rsidP="0078164B">
            <w:pPr>
              <w:pStyle w:val="Standard"/>
              <w:widowControl w:val="0"/>
              <w:numPr>
                <w:ilvl w:val="0"/>
                <w:numId w:val="12"/>
              </w:numPr>
              <w:tabs>
                <w:tab w:val="clear" w:pos="0"/>
                <w:tab w:val="num" w:pos="228"/>
              </w:tabs>
              <w:snapToGrid w:val="0"/>
              <w:spacing w:line="26" w:lineRule="atLeast"/>
              <w:ind w:left="228" w:hanging="228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podgłówek – odłączany, z możliwością podwójnej regulacji kąta ustawienia głowy,</w:t>
            </w:r>
          </w:p>
          <w:p w14:paraId="13609C63" w14:textId="77777777" w:rsidR="001433C6" w:rsidRPr="005E36D0" w:rsidRDefault="001433C6" w:rsidP="0078164B">
            <w:pPr>
              <w:pStyle w:val="Standard"/>
              <w:widowControl w:val="0"/>
              <w:numPr>
                <w:ilvl w:val="0"/>
                <w:numId w:val="12"/>
              </w:numPr>
              <w:tabs>
                <w:tab w:val="clear" w:pos="0"/>
                <w:tab w:val="num" w:pos="228"/>
              </w:tabs>
              <w:snapToGrid w:val="0"/>
              <w:spacing w:line="26" w:lineRule="atLeast"/>
              <w:ind w:left="228" w:hanging="228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segment plecowy,</w:t>
            </w:r>
          </w:p>
          <w:p w14:paraId="2C721BCD" w14:textId="77777777" w:rsidR="00CE554D" w:rsidRPr="005E36D0" w:rsidRDefault="001433C6" w:rsidP="00CE554D">
            <w:pPr>
              <w:pStyle w:val="Standard"/>
              <w:widowControl w:val="0"/>
              <w:numPr>
                <w:ilvl w:val="0"/>
                <w:numId w:val="12"/>
              </w:numPr>
              <w:tabs>
                <w:tab w:val="clear" w:pos="0"/>
                <w:tab w:val="num" w:pos="228"/>
              </w:tabs>
              <w:snapToGrid w:val="0"/>
              <w:spacing w:line="26" w:lineRule="atLeast"/>
              <w:ind w:left="228" w:hanging="228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siedzisko,</w:t>
            </w:r>
          </w:p>
          <w:p w14:paraId="79F670A6" w14:textId="52053293" w:rsidR="001433C6" w:rsidRPr="005E36D0" w:rsidRDefault="001433C6" w:rsidP="00CE554D">
            <w:pPr>
              <w:pStyle w:val="Standard"/>
              <w:widowControl w:val="0"/>
              <w:numPr>
                <w:ilvl w:val="0"/>
                <w:numId w:val="12"/>
              </w:numPr>
              <w:tabs>
                <w:tab w:val="clear" w:pos="0"/>
                <w:tab w:val="num" w:pos="228"/>
              </w:tabs>
              <w:snapToGrid w:val="0"/>
              <w:spacing w:line="26" w:lineRule="atLeast"/>
              <w:ind w:left="228" w:hanging="228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segment nożny dzielony 2 częściowy</w:t>
            </w:r>
          </w:p>
        </w:tc>
        <w:tc>
          <w:tcPr>
            <w:tcW w:w="1133" w:type="dxa"/>
          </w:tcPr>
          <w:p w14:paraId="7E4C894F" w14:textId="77777777" w:rsidR="001433C6" w:rsidRPr="0078164B" w:rsidRDefault="001433C6" w:rsidP="0078164B">
            <w:pPr>
              <w:jc w:val="center"/>
              <w:rPr>
                <w:sz w:val="18"/>
                <w:szCs w:val="18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CA963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073B2764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0362D470" w14:textId="77777777" w:rsidR="001433C6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1433C6" w:rsidRPr="00CD23F6" w14:paraId="5E0B0657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D45E9" w14:textId="77777777" w:rsidR="001433C6" w:rsidRPr="0078164B" w:rsidRDefault="001433C6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097FD065" w14:textId="77777777" w:rsidR="001433C6" w:rsidRPr="005E36D0" w:rsidRDefault="001433C6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Zakres elektrohydraulicznej lub elektromechanicznej regulacji segmentu nóg w zakresie min. -90°/+</w:t>
            </w:r>
            <w:r w:rsidR="000D71E7" w:rsidRPr="005E36D0">
              <w:rPr>
                <w:rFonts w:ascii="Century Gothic" w:hAnsi="Century Gothic" w:cs="Arial"/>
                <w:sz w:val="18"/>
                <w:szCs w:val="18"/>
              </w:rPr>
              <w:t>90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>°</w:t>
            </w:r>
          </w:p>
        </w:tc>
        <w:tc>
          <w:tcPr>
            <w:tcW w:w="1133" w:type="dxa"/>
          </w:tcPr>
          <w:p w14:paraId="076A5C05" w14:textId="77777777" w:rsidR="001433C6" w:rsidRPr="0078164B" w:rsidRDefault="001433C6" w:rsidP="0078164B">
            <w:pPr>
              <w:jc w:val="center"/>
              <w:rPr>
                <w:sz w:val="18"/>
                <w:szCs w:val="18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8D2D2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689C7773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59F5EF7" w14:textId="77777777" w:rsidR="001433C6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1433C6" w:rsidRPr="00CD23F6" w14:paraId="7B3584AF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F24EC" w14:textId="77777777" w:rsidR="001433C6" w:rsidRPr="0078164B" w:rsidRDefault="001433C6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42387276" w14:textId="7C3A36CA" w:rsidR="001433C6" w:rsidRPr="005E36D0" w:rsidRDefault="001433C6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Podgłówek regulowany manualnie w dwóch płaszczyznach za pomocą dźwigni odpowiadających za poszczególne osie/płaszczyzny lub wypiętrzenie wspomagane sprężyną gazową. Zakres regulacji podgłówka w zakresie min.  </w:t>
            </w:r>
            <w:r w:rsidR="005E36D0" w:rsidRPr="005E36D0">
              <w:rPr>
                <w:rFonts w:ascii="Century Gothic" w:hAnsi="Century Gothic" w:cs="Arial"/>
                <w:sz w:val="18"/>
                <w:szCs w:val="18"/>
              </w:rPr>
              <w:t xml:space="preserve">( 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>-30 /+45 ˚)</w:t>
            </w:r>
          </w:p>
        </w:tc>
        <w:tc>
          <w:tcPr>
            <w:tcW w:w="1133" w:type="dxa"/>
          </w:tcPr>
          <w:p w14:paraId="0A8BF4F5" w14:textId="77777777" w:rsidR="001433C6" w:rsidRPr="0078164B" w:rsidRDefault="001433C6" w:rsidP="0078164B">
            <w:pPr>
              <w:jc w:val="center"/>
              <w:rPr>
                <w:sz w:val="18"/>
                <w:szCs w:val="18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1178C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A3126B4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4AA6C738" w14:textId="77777777" w:rsidR="001433C6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1249EDC4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02981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05B5247D" w14:textId="61A8538E" w:rsidR="00DD6964" w:rsidRPr="005E36D0" w:rsidRDefault="00DD6964" w:rsidP="0078164B">
            <w:pPr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Regulacja wysokości w zakresie min. od </w:t>
            </w:r>
            <w:r w:rsidR="000D71E7" w:rsidRPr="005E36D0">
              <w:rPr>
                <w:rFonts w:ascii="Century Gothic" w:hAnsi="Century Gothic" w:cs="Arial"/>
                <w:sz w:val="18"/>
                <w:szCs w:val="18"/>
              </w:rPr>
              <w:t>58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 do 1</w:t>
            </w:r>
            <w:r w:rsidR="000D71E7" w:rsidRPr="005E36D0">
              <w:rPr>
                <w:rFonts w:ascii="Century Gothic" w:hAnsi="Century Gothic" w:cs="Arial"/>
                <w:sz w:val="18"/>
                <w:szCs w:val="18"/>
              </w:rPr>
              <w:t>14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 cm</w:t>
            </w:r>
            <w:r w:rsidR="009B089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B089D" w:rsidRPr="009B089D">
              <w:rPr>
                <w:rFonts w:ascii="Century Gothic" w:hAnsi="Century Gothic" w:cs="Arial"/>
                <w:sz w:val="18"/>
                <w:szCs w:val="18"/>
                <w:highlight w:val="yellow"/>
              </w:rPr>
              <w:t>lub min. od 59,8cm do 114,8 cm</w:t>
            </w:r>
          </w:p>
        </w:tc>
        <w:tc>
          <w:tcPr>
            <w:tcW w:w="1133" w:type="dxa"/>
          </w:tcPr>
          <w:p w14:paraId="11459519" w14:textId="5DE5BA6B" w:rsidR="00DD6964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  <w:r w:rsidR="009B089D" w:rsidRPr="009B089D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pl-PL"/>
              </w:rPr>
              <w:t>, podać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590B6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A3D6B88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2153434F" w14:textId="77777777" w:rsidR="001433C6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1518C67A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3374B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70F827F3" w14:textId="0570C2A9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Możliwość opuszczenia stołu</w:t>
            </w:r>
            <w:r w:rsidR="000B16E5" w:rsidRPr="005E36D0">
              <w:rPr>
                <w:rFonts w:ascii="Century Gothic" w:hAnsi="Century Gothic" w:cs="Arial"/>
                <w:sz w:val="18"/>
                <w:szCs w:val="18"/>
              </w:rPr>
              <w:t xml:space="preserve"> do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B16E5" w:rsidRPr="005E36D0">
              <w:rPr>
                <w:rFonts w:ascii="Century Gothic" w:hAnsi="Century Gothic" w:cs="Arial"/>
                <w:sz w:val="18"/>
                <w:szCs w:val="18"/>
              </w:rPr>
              <w:t>66 cm nad podłogą lub niżej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14:paraId="47B56B8B" w14:textId="77777777" w:rsidR="00DD6964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B956E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09D05FF3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19FDAF97" w14:textId="77777777" w:rsidR="001433C6" w:rsidRPr="0078164B" w:rsidRDefault="00BE244E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Poniżej </w:t>
            </w:r>
            <w:r w:rsidR="001433C6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66 cm - 5 pkt.</w:t>
            </w:r>
          </w:p>
          <w:p w14:paraId="15D12F85" w14:textId="4B7EF1CD" w:rsidR="001433C6" w:rsidRPr="0078164B" w:rsidRDefault="0078164B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66 cm -</w:t>
            </w:r>
            <w:r w:rsidR="00BE244E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0 pkt</w:t>
            </w:r>
          </w:p>
        </w:tc>
      </w:tr>
      <w:tr w:rsidR="00DD6964" w:rsidRPr="00CD23F6" w14:paraId="27034554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302E5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1E924B7F" w14:textId="33B182FB" w:rsidR="00DD6964" w:rsidRPr="005E36D0" w:rsidRDefault="00DD6964" w:rsidP="005E36D0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Regulacja nachylenia wzdłużnego (pozycja </w:t>
            </w:r>
            <w:proofErr w:type="spellStart"/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Trendelenburga</w:t>
            </w:r>
            <w:proofErr w:type="spellEnd"/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, anty-</w:t>
            </w:r>
            <w:proofErr w:type="spellStart"/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Trendelenburg</w:t>
            </w:r>
            <w:proofErr w:type="spellEnd"/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) w zakresie min. - 30° do +30°</w:t>
            </w:r>
          </w:p>
        </w:tc>
        <w:tc>
          <w:tcPr>
            <w:tcW w:w="1133" w:type="dxa"/>
          </w:tcPr>
          <w:p w14:paraId="6D670061" w14:textId="77777777" w:rsidR="00DD6964" w:rsidRPr="0078164B" w:rsidRDefault="00BE244E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680C0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A0614CC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658C826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6A5D28AF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77418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3E7D889F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Regulacja nachyleń bocznych w zakresie min. 20</w:t>
            </w:r>
            <w:r w:rsidRPr="005E36D0">
              <w:rPr>
                <w:rFonts w:ascii="Century Gothic" w:hAnsi="Century Gothic" w:cs="Arial"/>
                <w:b/>
                <w:sz w:val="18"/>
                <w:szCs w:val="18"/>
              </w:rPr>
              <w:t>°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 w obie strony</w:t>
            </w:r>
          </w:p>
        </w:tc>
        <w:tc>
          <w:tcPr>
            <w:tcW w:w="1133" w:type="dxa"/>
          </w:tcPr>
          <w:p w14:paraId="70EF15AC" w14:textId="77777777" w:rsidR="00DD6964" w:rsidRPr="0078164B" w:rsidRDefault="00BE244E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F667D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12AB9EC2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CF627AE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724273EB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E9FB0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6FAD68DE" w14:textId="1B23E7D4" w:rsidR="00DD6964" w:rsidRPr="005E36D0" w:rsidRDefault="00DD6964" w:rsidP="005E36D0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Automatycznie ustawiana pozycja „0” lub stół operacyjny z możliwością powrotu do „pozycji 0” za pomocą jednego przycisku</w:t>
            </w:r>
          </w:p>
        </w:tc>
        <w:tc>
          <w:tcPr>
            <w:tcW w:w="1133" w:type="dxa"/>
          </w:tcPr>
          <w:p w14:paraId="6A9CF03A" w14:textId="77777777" w:rsidR="00DD6964" w:rsidRPr="0078164B" w:rsidRDefault="00BE244E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8CA59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493773AD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6F5D884A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64AD5940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5F415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3451B141" w14:textId="0E1BC750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Regulacja nachylenia płyty plecowej w zakresie min.  </w:t>
            </w:r>
            <w:r w:rsidR="009B089D" w:rsidRPr="009B089D">
              <w:rPr>
                <w:rFonts w:ascii="Century Gothic" w:hAnsi="Century Gothic" w:cs="Arial"/>
                <w:sz w:val="18"/>
                <w:szCs w:val="18"/>
                <w:highlight w:val="yellow"/>
              </w:rPr>
              <w:t>-</w:t>
            </w:r>
            <w:r w:rsidR="00EE3AC6" w:rsidRPr="009B089D">
              <w:rPr>
                <w:rFonts w:ascii="Century Gothic" w:hAnsi="Century Gothic" w:cs="Arial"/>
                <w:sz w:val="18"/>
                <w:szCs w:val="18"/>
                <w:highlight w:val="yellow"/>
              </w:rPr>
              <w:t>90</w:t>
            </w:r>
            <w:r w:rsidRPr="009B089D">
              <w:rPr>
                <w:rFonts w:ascii="Century Gothic" w:hAnsi="Century Gothic" w:cs="Arial"/>
                <w:sz w:val="18"/>
                <w:szCs w:val="18"/>
                <w:highlight w:val="yellow"/>
              </w:rPr>
              <w:t>°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 do +</w:t>
            </w:r>
            <w:r w:rsidR="00EE3AC6" w:rsidRPr="005E36D0">
              <w:rPr>
                <w:rFonts w:ascii="Century Gothic" w:hAnsi="Century Gothic" w:cs="Arial"/>
                <w:sz w:val="18"/>
                <w:szCs w:val="18"/>
              </w:rPr>
              <w:t>9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>0°</w:t>
            </w:r>
          </w:p>
        </w:tc>
        <w:tc>
          <w:tcPr>
            <w:tcW w:w="1133" w:type="dxa"/>
          </w:tcPr>
          <w:p w14:paraId="3D09EC8C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479D8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4C833C25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61A727C3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2DB78275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5DE4A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386DA841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Przesu</w:t>
            </w:r>
            <w:bookmarkStart w:id="1" w:name="_GoBack"/>
            <w:bookmarkEnd w:id="1"/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w wzdłużny blatu min. </w:t>
            </w:r>
            <w:r w:rsidR="00EE3AC6" w:rsidRPr="005E36D0">
              <w:rPr>
                <w:rFonts w:ascii="Century Gothic" w:hAnsi="Century Gothic" w:cs="Arial"/>
                <w:sz w:val="18"/>
                <w:szCs w:val="18"/>
              </w:rPr>
              <w:t>380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 [mm]  </w:t>
            </w:r>
          </w:p>
        </w:tc>
        <w:tc>
          <w:tcPr>
            <w:tcW w:w="1133" w:type="dxa"/>
          </w:tcPr>
          <w:p w14:paraId="61DCAA9D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A438A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84E04A8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6415A713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0C172777" w14:textId="77777777" w:rsidTr="00043412">
        <w:trPr>
          <w:trHeight w:val="698"/>
        </w:trPr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49453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548B1B7A" w14:textId="1084E51D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Ruchome przedłuże</w:t>
            </w:r>
            <w:r w:rsidR="005E36D0" w:rsidRPr="005E36D0">
              <w:rPr>
                <w:rFonts w:ascii="Century Gothic" w:hAnsi="Century Gothic" w:cs="Arial"/>
                <w:sz w:val="18"/>
                <w:szCs w:val="18"/>
              </w:rPr>
              <w:t xml:space="preserve">nie części pleców umożliwiające 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>wypiętrzenie klatki piersiowej sterowane z pilota lub regulowane ręcznie</w:t>
            </w:r>
          </w:p>
        </w:tc>
        <w:tc>
          <w:tcPr>
            <w:tcW w:w="1133" w:type="dxa"/>
          </w:tcPr>
          <w:p w14:paraId="77AA03BD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E637E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01BC019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3A56B6D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1189D623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1C529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09C8A797" w14:textId="6863EE47" w:rsidR="00DD6964" w:rsidRPr="005E36D0" w:rsidRDefault="00DD6964" w:rsidP="005E36D0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Funkcje blatu stołu do pozycji „</w:t>
            </w:r>
            <w:proofErr w:type="spellStart"/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flex</w:t>
            </w:r>
            <w:proofErr w:type="spellEnd"/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” i „</w:t>
            </w:r>
            <w:proofErr w:type="spellStart"/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reflex</w:t>
            </w:r>
            <w:proofErr w:type="spellEnd"/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” realizowane za pomocą jednego przycisku, po wybraniu tej funkcji na pilocie</w:t>
            </w:r>
          </w:p>
        </w:tc>
        <w:tc>
          <w:tcPr>
            <w:tcW w:w="1133" w:type="dxa"/>
          </w:tcPr>
          <w:p w14:paraId="71D2053F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04756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6E5D750C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12604027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22C9358C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8B881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4DFB2B1E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Układ sterowania ruchami blatu zapewniający płynną ich regulację i wysoką stabilność pozycjonowania</w:t>
            </w:r>
          </w:p>
        </w:tc>
        <w:tc>
          <w:tcPr>
            <w:tcW w:w="1133" w:type="dxa"/>
          </w:tcPr>
          <w:p w14:paraId="37B1FA49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B9AEF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20D3A98E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731C612F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5DA3648B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7FDE0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5F732ED3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System antykolizyjny, zabezpieczający przed kolizją elementów blatu oraz niepozwalający na uderzenie elementem blatu o podłoże (system zatrzymujący ruch w przypadku możliwego wystąpienia kolizji)</w:t>
            </w:r>
          </w:p>
        </w:tc>
        <w:tc>
          <w:tcPr>
            <w:tcW w:w="1133" w:type="dxa"/>
          </w:tcPr>
          <w:p w14:paraId="60D8342F" w14:textId="34BC503E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F9D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CCD837E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33A6378" w14:textId="734D979C" w:rsidR="00564468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- 5 pkt.</w:t>
            </w:r>
          </w:p>
          <w:p w14:paraId="0206E59D" w14:textId="549AB558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-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0 pkt.</w:t>
            </w:r>
          </w:p>
        </w:tc>
      </w:tr>
      <w:tr w:rsidR="00DD6964" w:rsidRPr="00CD23F6" w14:paraId="3235DE08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4FE4A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680F0299" w14:textId="471867F6" w:rsidR="00DD6964" w:rsidRPr="005E36D0" w:rsidRDefault="00DD6964" w:rsidP="005E36D0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Materace przeciwodleżynowe, demontowane, odporne na środki dezynfekcyjne, zespalane bezszwową </w:t>
            </w:r>
            <w:r w:rsidR="005E36D0"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metodą, o grubości min. 60 [mm]. </w:t>
            </w: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Materac z funkcją pamięci kształtu  </w:t>
            </w:r>
          </w:p>
        </w:tc>
        <w:tc>
          <w:tcPr>
            <w:tcW w:w="1133" w:type="dxa"/>
          </w:tcPr>
          <w:p w14:paraId="22E388C4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2913C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138A6FF5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40F5D695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46CA6D0D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3B2D2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583FFAEE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Materac z funkcją zabezpieczenia pacjenta przed wychłodzeniem</w:t>
            </w:r>
          </w:p>
        </w:tc>
        <w:tc>
          <w:tcPr>
            <w:tcW w:w="1133" w:type="dxa"/>
          </w:tcPr>
          <w:p w14:paraId="298A51BB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E4189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32D4ED00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2D94F6BD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3186E355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674FF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7E833C57" w14:textId="62392991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Zasilanie stołu akumulatorowe z wbudowanym układem – wskaźni</w:t>
            </w:r>
            <w:r w:rsidR="005E36D0">
              <w:rPr>
                <w:rFonts w:ascii="Century Gothic" w:hAnsi="Century Gothic" w:cs="Arial"/>
                <w:sz w:val="18"/>
                <w:szCs w:val="18"/>
              </w:rPr>
              <w:t xml:space="preserve">k stanu naładowania baterii na panelu 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>bocznym stołu lub podstawie stołu.</w:t>
            </w:r>
          </w:p>
        </w:tc>
        <w:tc>
          <w:tcPr>
            <w:tcW w:w="1133" w:type="dxa"/>
          </w:tcPr>
          <w:p w14:paraId="0BAED06B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E4142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229A5725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160DFBF0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6911A16E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BEFC0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10B95140" w14:textId="0221EAE1" w:rsidR="00DD6964" w:rsidRPr="005E36D0" w:rsidRDefault="005E36D0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Szyny sprzętowe </w:t>
            </w:r>
            <w:r w:rsidR="00DD6964" w:rsidRPr="005E36D0">
              <w:rPr>
                <w:rFonts w:ascii="Century Gothic" w:hAnsi="Century Gothic" w:cs="Arial"/>
                <w:sz w:val="18"/>
                <w:szCs w:val="18"/>
              </w:rPr>
              <w:t xml:space="preserve">ze stali nierdzewnej o przekroju 10 x 25 [mm] wzdłuż wszystkich segmentów blatu, po obu stronach stołu  </w:t>
            </w:r>
          </w:p>
        </w:tc>
        <w:tc>
          <w:tcPr>
            <w:tcW w:w="1133" w:type="dxa"/>
          </w:tcPr>
          <w:p w14:paraId="306EB614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BEF17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6200651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259F3DC6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3284B2A9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AE442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73C39602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Możliwość pracy z sieci 230 [V] w trybie awaryjnym</w:t>
            </w:r>
          </w:p>
        </w:tc>
        <w:tc>
          <w:tcPr>
            <w:tcW w:w="1133" w:type="dxa"/>
          </w:tcPr>
          <w:p w14:paraId="315EC95B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F8100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16E4A7C8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D0561C5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419DE5AD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6CD0C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10B4FC0F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Dopuszczalne obciążenie stołu – min. 350 [kg]</w:t>
            </w:r>
          </w:p>
        </w:tc>
        <w:tc>
          <w:tcPr>
            <w:tcW w:w="1133" w:type="dxa"/>
          </w:tcPr>
          <w:p w14:paraId="0A3695DB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FB432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3A50C080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46F5BC5A" w14:textId="5E450C61" w:rsidR="00DD6964" w:rsidRPr="0078164B" w:rsidRDefault="00BE244E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Powyżej 350 kg.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- </w:t>
            </w:r>
            <w:r w:rsidR="003D2A22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3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pkt.</w:t>
            </w:r>
          </w:p>
          <w:p w14:paraId="5C4797F8" w14:textId="598267FA" w:rsidR="00BE244E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350 kg -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0 pkt.</w:t>
            </w:r>
          </w:p>
        </w:tc>
      </w:tr>
      <w:tr w:rsidR="00DD6964" w:rsidRPr="00CD23F6" w14:paraId="692D6A89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0FCDB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2C7143B0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Max. waga pacjenta umożliwiająca użycie stołu w dowolnym położeniu – min. 225 [kg]</w:t>
            </w:r>
          </w:p>
        </w:tc>
        <w:tc>
          <w:tcPr>
            <w:tcW w:w="1133" w:type="dxa"/>
          </w:tcPr>
          <w:p w14:paraId="103E8085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53007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35A061D9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64D68B7C" w14:textId="5DB9C6B3" w:rsidR="00564468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Powyżej 225</w:t>
            </w:r>
            <w:r w:rsidR="003D2A22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kg.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3D2A22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- 3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pkt.</w:t>
            </w:r>
          </w:p>
          <w:p w14:paraId="15B20318" w14:textId="74962ABF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225  kg -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0 pkt.</w:t>
            </w:r>
          </w:p>
        </w:tc>
      </w:tr>
      <w:tr w:rsidR="00DD6964" w:rsidRPr="00CD23F6" w14:paraId="3D3A4F0F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CFA2A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1FF5E26B" w14:textId="77777777" w:rsidR="00DD6964" w:rsidRPr="005E36D0" w:rsidRDefault="00DD6964" w:rsidP="0078164B">
            <w:pPr>
              <w:spacing w:line="27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E36D0">
              <w:rPr>
                <w:rFonts w:ascii="Century Gothic" w:hAnsi="Century Gothic" w:cstheme="minorHAnsi"/>
                <w:sz w:val="18"/>
                <w:szCs w:val="18"/>
              </w:rPr>
              <w:t>Elementy blatu stołu (segmenty blatu) oraz wyposażenie kompatybilne z posiadanym przez Zamawiającego stołem operacyjnym TS 7000</w:t>
            </w:r>
          </w:p>
          <w:p w14:paraId="36FBEF73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theme="minorHAnsi"/>
                <w:sz w:val="18"/>
                <w:szCs w:val="18"/>
              </w:rPr>
              <w:t>Możliwość zastosowania posiadanych przez Zamawiającego segmentów: uniwersalnego, urologicznego oraz górnego oparcia pleców.</w:t>
            </w:r>
          </w:p>
        </w:tc>
        <w:tc>
          <w:tcPr>
            <w:tcW w:w="1133" w:type="dxa"/>
          </w:tcPr>
          <w:p w14:paraId="7A1DDAAD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B1F1F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0C5E744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345F0F8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</w:tbl>
    <w:p w14:paraId="00F7BAAF" w14:textId="77777777" w:rsidR="008C58E6" w:rsidRPr="00CD23F6" w:rsidRDefault="008C58E6" w:rsidP="00CD23F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10"/>
      </w:tblGrid>
      <w:tr w:rsidR="008C58E6" w:rsidRPr="00CD23F6" w14:paraId="2CC960AC" w14:textId="77777777" w:rsidTr="00043412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82F2" w14:textId="77777777" w:rsidR="008C58E6" w:rsidRPr="00CD23F6" w:rsidRDefault="008C58E6" w:rsidP="00CD23F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D23F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448E74DC" w14:textId="77777777" w:rsidR="008C58E6" w:rsidRPr="00CD23F6" w:rsidRDefault="008C58E6" w:rsidP="00CD23F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2825F59D" w14:textId="77777777" w:rsidR="00E6113C" w:rsidRPr="00CD23F6" w:rsidRDefault="00E6113C" w:rsidP="00CD23F6">
      <w:pPr>
        <w:suppressAutoHyphens/>
        <w:spacing w:line="288" w:lineRule="auto"/>
        <w:rPr>
          <w:rFonts w:ascii="Century Gothic" w:eastAsia="Times New Roman" w:hAnsi="Century Gothic"/>
          <w:b/>
          <w:lang w:eastAsia="ar-SA"/>
        </w:rPr>
      </w:pPr>
    </w:p>
    <w:tbl>
      <w:tblPr>
        <w:tblW w:w="1531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559"/>
        <w:gridCol w:w="3402"/>
        <w:gridCol w:w="2552"/>
      </w:tblGrid>
      <w:tr w:rsidR="00E6113C" w:rsidRPr="0078164B" w14:paraId="0B5ED7DB" w14:textId="77777777" w:rsidTr="00043412">
        <w:trPr>
          <w:trHeight w:val="7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C4BC5" w14:textId="77777777" w:rsidR="00E6113C" w:rsidRPr="0078164B" w:rsidRDefault="00E6113C" w:rsidP="0034389D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3A633" w14:textId="77777777" w:rsidR="00E6113C" w:rsidRPr="0078164B" w:rsidRDefault="00E6113C" w:rsidP="00043412">
            <w:pPr>
              <w:keepNext/>
              <w:tabs>
                <w:tab w:val="num" w:pos="0"/>
              </w:tabs>
              <w:suppressAutoHyphens/>
              <w:snapToGrid w:val="0"/>
              <w:spacing w:after="120" w:line="288" w:lineRule="auto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BC000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1B92A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928CB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SPOSÓB OCENY</w:t>
            </w:r>
          </w:p>
        </w:tc>
      </w:tr>
      <w:tr w:rsidR="00E6113C" w:rsidRPr="0078164B" w14:paraId="56CA0D55" w14:textId="77777777" w:rsidTr="00043412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BAA73" w14:textId="5559AFC6" w:rsidR="00E6113C" w:rsidRPr="0034389D" w:rsidRDefault="00E6113C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6D8F8" w14:textId="77777777" w:rsidR="00E6113C" w:rsidRPr="0078164B" w:rsidRDefault="00E6113C" w:rsidP="00043412">
            <w:pPr>
              <w:keepNext/>
              <w:tabs>
                <w:tab w:val="num" w:pos="0"/>
              </w:tabs>
              <w:suppressAutoHyphens/>
              <w:snapToGrid w:val="0"/>
              <w:spacing w:after="120" w:line="288" w:lineRule="auto"/>
              <w:ind w:left="720" w:hanging="720"/>
              <w:outlineLvl w:val="2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E57BF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8EFF7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557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E6113C" w:rsidRPr="0078164B" w14:paraId="7834B02C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E4E99" w14:textId="77777777" w:rsidR="00E6113C" w:rsidRPr="0034389D" w:rsidRDefault="00E6113C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9F975" w14:textId="2594E733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Okres gwarancji dla urządzeń  i wszystkich ich składników [liczba miesięcy]</w:t>
            </w:r>
            <w:r w:rsidR="00F32D48" w:rsidRPr="0078164B">
              <w:rPr>
                <w:rFonts w:ascii="Century Gothic" w:eastAsiaTheme="minorHAnsi" w:hAnsi="Century Gothic" w:cstheme="majorHAnsi"/>
                <w:sz w:val="18"/>
                <w:szCs w:val="18"/>
                <w:lang w:eastAsia="en-US"/>
              </w:rPr>
              <w:t xml:space="preserve"> </w:t>
            </w:r>
            <w:r w:rsidRPr="0078164B">
              <w:rPr>
                <w:rFonts w:ascii="Century Gothic" w:hAnsi="Century Gothic" w:cstheme="majorHAnsi"/>
                <w:i/>
                <w:iCs/>
                <w:sz w:val="18"/>
                <w:szCs w:val="18"/>
              </w:rPr>
              <w:t xml:space="preserve">UWAGA – należy podać pełną liczbę miesięcy. Wartości ułamkowe będą przy </w:t>
            </w:r>
            <w:r w:rsidRPr="0078164B">
              <w:rPr>
                <w:rFonts w:ascii="Century Gothic" w:hAnsi="Century Gothic" w:cstheme="majorHAnsi"/>
                <w:i/>
                <w:iCs/>
                <w:sz w:val="18"/>
                <w:szCs w:val="18"/>
              </w:rPr>
              <w:lastRenderedPageBreak/>
              <w:t>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3C7FB" w14:textId="6A3C6857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lastRenderedPageBreak/>
              <w:t>≥</w:t>
            </w:r>
            <w:r w:rsidR="005E36D0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t xml:space="preserve"> </w:t>
            </w:r>
            <w:r w:rsidRPr="0078164B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t>24</w:t>
            </w:r>
          </w:p>
          <w:p w14:paraId="49CBD727" w14:textId="77777777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  <w:p w14:paraId="2C09CD62" w14:textId="77777777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lastRenderedPageBreak/>
              <w:t>Tak/podać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8F6C1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F0EE6" w14:textId="77777777" w:rsidR="00E6113C" w:rsidRPr="0078164B" w:rsidRDefault="00E6113C" w:rsidP="00043412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ajorHAnsi"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bCs/>
                <w:sz w:val="18"/>
                <w:szCs w:val="18"/>
                <w:lang w:eastAsia="ar-SA"/>
              </w:rPr>
              <w:t>Najdłuższy okres – 10 pkt.,</w:t>
            </w:r>
          </w:p>
          <w:p w14:paraId="7BAB5DA6" w14:textId="77777777" w:rsidR="00E6113C" w:rsidRPr="0078164B" w:rsidRDefault="00E6113C" w:rsidP="00043412">
            <w:pPr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bCs/>
                <w:sz w:val="18"/>
                <w:szCs w:val="18"/>
                <w:lang w:eastAsia="ar-SA"/>
              </w:rPr>
              <w:lastRenderedPageBreak/>
              <w:t>Inne – proporcjonalnie mniej (względem najdłuższej zaoferowanej gwarancji)</w:t>
            </w:r>
          </w:p>
        </w:tc>
      </w:tr>
      <w:tr w:rsidR="00E6113C" w:rsidRPr="0078164B" w14:paraId="089FAED7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78664" w14:textId="77777777" w:rsidR="00E6113C" w:rsidRPr="0034389D" w:rsidRDefault="00E6113C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B6E49" w14:textId="77777777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88" w:lineRule="auto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2DD0E" w14:textId="77777777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749B6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3ACF9" w14:textId="77777777" w:rsidR="00E6113C" w:rsidRPr="0078164B" w:rsidRDefault="00E6113C" w:rsidP="00043412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ajorHAnsi"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E6113C" w:rsidRPr="0078164B" w14:paraId="028DE77B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33489" w14:textId="77777777" w:rsidR="00E6113C" w:rsidRPr="0034389D" w:rsidRDefault="00E6113C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036215" w14:textId="77777777" w:rsidR="00E6113C" w:rsidRPr="0078164B" w:rsidRDefault="00E6113C" w:rsidP="00043412">
            <w:pPr>
              <w:suppressAutoHyphens/>
              <w:snapToGrid w:val="0"/>
              <w:spacing w:after="120" w:line="288" w:lineRule="auto"/>
              <w:rPr>
                <w:rFonts w:ascii="Century Gothic" w:eastAsia="Arial" w:hAnsi="Century Gothic" w:cstheme="majorHAnsi"/>
                <w:kern w:val="2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Arial" w:hAnsi="Century Gothic" w:cstheme="majorHAnsi"/>
                <w:kern w:val="2"/>
                <w:sz w:val="18"/>
                <w:szCs w:val="18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69246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66EAE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0EE97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7548E4BF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61E3F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31215" w14:textId="77777777" w:rsidR="0078164B" w:rsidRPr="0078164B" w:rsidRDefault="0078164B" w:rsidP="00043412">
            <w:pPr>
              <w:suppressAutoHyphens/>
              <w:snapToGrid w:val="0"/>
              <w:spacing w:after="120" w:line="288" w:lineRule="auto"/>
              <w:rPr>
                <w:rFonts w:ascii="Century Gothic" w:eastAsia="Arial" w:hAnsi="Century Gothic" w:cstheme="majorHAnsi"/>
                <w:b/>
                <w:kern w:val="2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Arial" w:hAnsi="Century Gothic" w:cstheme="majorHAnsi"/>
                <w:b/>
                <w:kern w:val="2"/>
                <w:sz w:val="18"/>
                <w:szCs w:val="18"/>
                <w:lang w:eastAsia="ar-SA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98D23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86BEE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58D0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</w:tr>
      <w:tr w:rsidR="0078164B" w:rsidRPr="0078164B" w14:paraId="01505BDC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C74A4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377CB" w14:textId="60BD0FA2" w:rsidR="0078164B" w:rsidRPr="0078164B" w:rsidRDefault="0078164B" w:rsidP="00043412">
            <w:pPr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W cenie oferty -  przeglądy okresowe w okresie gwarancji (w częstotliwości i w zakresie zgodnym z wymogami producenta).</w:t>
            </w: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6603DD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W cenie oferty obowiązkowy</w:t>
            </w: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 xml:space="preserve"> przegląd z końcem biegu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773C6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TAK, podać liczbę przeglądów w okresie gwarancji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14248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88558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7CBB2490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0C711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176E0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A27FB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CA705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1539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1AEA2D4A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6A811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A627B" w14:textId="77777777" w:rsidR="0078164B" w:rsidRPr="0078164B" w:rsidRDefault="0078164B" w:rsidP="000434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Czas reakcji:  „przyjęte zgłoszenie – podjęta naprawa” =&lt; 2 dni robocze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0B50A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E2ED9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84274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628E2BD7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83EDC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042A2" w14:textId="77777777" w:rsidR="0078164B" w:rsidRPr="0078164B" w:rsidRDefault="0078164B" w:rsidP="000434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909FC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0C6D1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F13A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792E5397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4B4EB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D5EBC" w14:textId="77777777" w:rsidR="0078164B" w:rsidRPr="0078164B" w:rsidRDefault="0078164B" w:rsidP="000434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Wymiana każdego podzespołu na nowy po trzech nieskutecznych próbach jego napraw gwarancyjnych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81117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47213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93120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1A5FE298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9C630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4DC82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C1C21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FE61B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B5245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36BBEF29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4A1EB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49B82" w14:textId="77777777" w:rsidR="0078164B" w:rsidRPr="0078164B" w:rsidRDefault="0078164B" w:rsidP="00043412">
            <w:pPr>
              <w:widowControl w:val="0"/>
              <w:tabs>
                <w:tab w:val="left" w:pos="0"/>
              </w:tabs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</w:t>
            </w: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lastRenderedPageBreak/>
              <w:t>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B873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6CEAB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6D7C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1EC78A72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2CBD0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1D52F" w14:textId="77777777" w:rsidR="0078164B" w:rsidRPr="0078164B" w:rsidRDefault="0078164B" w:rsidP="00043412">
            <w:pPr>
              <w:suppressAutoHyphens/>
              <w:snapToGrid w:val="0"/>
              <w:spacing w:after="120" w:line="288" w:lineRule="auto"/>
              <w:rPr>
                <w:rFonts w:ascii="Century Gothic" w:eastAsia="Arial" w:hAnsi="Century Gothic" w:cstheme="majorHAnsi"/>
                <w:b/>
                <w:kern w:val="2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Arial" w:hAnsi="Century Gothic" w:cstheme="majorHAnsi"/>
                <w:b/>
                <w:kern w:val="2"/>
                <w:sz w:val="18"/>
                <w:szCs w:val="18"/>
                <w:lang w:eastAsia="ar-SA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C581F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D7441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B708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</w:tr>
      <w:tr w:rsidR="0078164B" w:rsidRPr="0078164B" w14:paraId="54C07F75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6F767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E08E7" w14:textId="500DB003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 xml:space="preserve">Szkolenia dla personelu  medycznego z zakresu obsługi urządzenia </w:t>
            </w:r>
            <w:r w:rsidR="0023351F">
              <w:rPr>
                <w:rFonts w:ascii="Century Gothic" w:hAnsi="Century Gothic" w:cstheme="majorHAnsi"/>
                <w:sz w:val="18"/>
                <w:szCs w:val="18"/>
              </w:rPr>
              <w:t>min:</w:t>
            </w:r>
            <w:r w:rsidR="006603DD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  <w:r w:rsidR="0023351F">
              <w:rPr>
                <w:rFonts w:ascii="Century Gothic" w:hAnsi="Century Gothic" w:cstheme="majorHAnsi"/>
                <w:sz w:val="18"/>
                <w:szCs w:val="18"/>
              </w:rPr>
              <w:t xml:space="preserve">2 osoby.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861A2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643EB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4D76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11E98E7E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6924D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79C44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2C620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7A946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8845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3F755253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AEBF2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A8BD0" w14:textId="77777777" w:rsidR="0078164B" w:rsidRPr="0078164B" w:rsidRDefault="0078164B" w:rsidP="00043412">
            <w:pPr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b/>
                <w:color w:val="000000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b/>
                <w:color w:val="000000"/>
                <w:sz w:val="18"/>
                <w:szCs w:val="18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28FCB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32182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4BFF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164B" w:rsidRPr="0078164B" w14:paraId="765450E6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40815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6BD82" w14:textId="77777777" w:rsidR="0078164B" w:rsidRPr="0078164B" w:rsidRDefault="0078164B" w:rsidP="00043412">
            <w:pPr>
              <w:widowControl w:val="0"/>
              <w:suppressAutoHyphens/>
              <w:autoSpaceDE w:val="0"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Instrukcje obsługi w języku polskim w formie elektronicznej i drukowanej.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100AF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43F52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0F79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221E82BD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06D63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12849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 xml:space="preserve">Wykonawca w ramach dostawy sprzętu zobowiązuje się dostarczyć komplet akcesoriów, okablowania itp. asortymentu niezbędnego do uruchomienia i funkcjonowania aparatu jako całości w wymaganej specyfikacją konfiguracji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350A2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94812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E9FA0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208B08F1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A4D54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539A0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08C1D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BF7F9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D137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17E06940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2D6DA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91FBE" w14:textId="77777777" w:rsidR="0078164B" w:rsidRPr="0078164B" w:rsidRDefault="0078164B" w:rsidP="00043412">
            <w:pPr>
              <w:widowControl w:val="0"/>
              <w:suppressAutoHyphens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39EDB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20170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0346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1BC64238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28768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15B61" w14:textId="77777777" w:rsidR="0078164B" w:rsidRPr="0078164B" w:rsidRDefault="0078164B" w:rsidP="00043412">
            <w:pPr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14:paraId="659B4D5C" w14:textId="77777777" w:rsidR="0078164B" w:rsidRPr="0078164B" w:rsidRDefault="0078164B" w:rsidP="00043412">
            <w:pPr>
              <w:widowControl w:val="0"/>
              <w:suppressAutoHyphens/>
              <w:spacing w:after="120" w:line="288" w:lineRule="auto"/>
              <w:rPr>
                <w:rFonts w:ascii="Century Gothic" w:hAnsi="Century Gothic" w:cstheme="majorHAnsi"/>
                <w:i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i/>
                <w:color w:val="000000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3BA4F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F3427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92A2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</w:tbl>
    <w:p w14:paraId="70328A10" w14:textId="24783112" w:rsidR="000F15DB" w:rsidRPr="0034245A" w:rsidRDefault="000F15DB" w:rsidP="00CD23F6">
      <w:pPr>
        <w:spacing w:line="288" w:lineRule="auto"/>
        <w:rPr>
          <w:rFonts w:ascii="Century Gothic" w:hAnsi="Century Gothic"/>
          <w:sz w:val="20"/>
          <w:szCs w:val="20"/>
        </w:rPr>
      </w:pPr>
    </w:p>
    <w:sectPr w:rsidR="000F15DB" w:rsidRPr="0034245A" w:rsidSect="0008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73D24" w14:textId="77777777" w:rsidR="001406B3" w:rsidRDefault="001406B3">
      <w:r>
        <w:separator/>
      </w:r>
    </w:p>
  </w:endnote>
  <w:endnote w:type="continuationSeparator" w:id="0">
    <w:p w14:paraId="76C76257" w14:textId="77777777" w:rsidR="001406B3" w:rsidRDefault="0014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1D5B" w14:textId="77777777" w:rsidR="00F46E94" w:rsidRDefault="00F46E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53659" w14:textId="77777777" w:rsidR="00E162E8" w:rsidRDefault="00E162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D1DE" w14:textId="77777777" w:rsidR="00F46E94" w:rsidRDefault="00F46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CC5B2" w14:textId="77777777" w:rsidR="001406B3" w:rsidRDefault="001406B3">
      <w:r>
        <w:separator/>
      </w:r>
    </w:p>
  </w:footnote>
  <w:footnote w:type="continuationSeparator" w:id="0">
    <w:p w14:paraId="5F7AD361" w14:textId="77777777" w:rsidR="001406B3" w:rsidRDefault="0014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6926" w14:textId="77777777" w:rsidR="00F46E94" w:rsidRDefault="00F46E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C189" w14:textId="41FC58C8" w:rsidR="0008684C" w:rsidRPr="0008684C" w:rsidRDefault="00F46E94" w:rsidP="0008684C">
    <w:pPr>
      <w:pStyle w:val="Nagwek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DFP.271.173</w:t>
    </w:r>
    <w:r w:rsidR="0008684C" w:rsidRPr="0008684C">
      <w:rPr>
        <w:rFonts w:ascii="Century Gothic" w:hAnsi="Century Gothic"/>
        <w:sz w:val="20"/>
        <w:szCs w:val="20"/>
      </w:rPr>
      <w:t xml:space="preserve">.2023.LS </w:t>
    </w:r>
  </w:p>
  <w:p w14:paraId="1A7455F8" w14:textId="1DD09F94" w:rsidR="00E162E8" w:rsidRPr="0008684C" w:rsidRDefault="00E162E8" w:rsidP="00DB22C6">
    <w:pPr>
      <w:pStyle w:val="Nagwek"/>
      <w:jc w:val="right"/>
      <w:rPr>
        <w:rFonts w:ascii="Century Gothic" w:hAnsi="Century Gothic"/>
        <w:sz w:val="20"/>
        <w:szCs w:val="20"/>
      </w:rPr>
    </w:pPr>
    <w:r w:rsidRPr="0008684C">
      <w:rPr>
        <w:rFonts w:ascii="Century Gothic" w:hAnsi="Century Gothic"/>
        <w:sz w:val="20"/>
        <w:szCs w:val="20"/>
      </w:rPr>
      <w:t>Załącznik nr 1a do SWZ</w:t>
    </w:r>
  </w:p>
  <w:p w14:paraId="381B7906" w14:textId="1ECC5B63" w:rsidR="0008684C" w:rsidRPr="0008684C" w:rsidRDefault="0008684C" w:rsidP="00DB22C6">
    <w:pPr>
      <w:pStyle w:val="Nagwek"/>
      <w:jc w:val="right"/>
      <w:rPr>
        <w:rFonts w:ascii="Century Gothic" w:hAnsi="Century Gothic"/>
        <w:sz w:val="20"/>
        <w:szCs w:val="20"/>
      </w:rPr>
    </w:pPr>
    <w:r w:rsidRPr="0008684C">
      <w:rPr>
        <w:rFonts w:ascii="Century Gothic" w:hAnsi="Century Gothic"/>
        <w:sz w:val="20"/>
        <w:szCs w:val="20"/>
      </w:rPr>
      <w:t>Załącznik nr ……….do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3E646" w14:textId="77777777" w:rsidR="00F46E94" w:rsidRDefault="00F46E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29D4D95"/>
    <w:multiLevelType w:val="hybridMultilevel"/>
    <w:tmpl w:val="1978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2705C"/>
    <w:multiLevelType w:val="hybridMultilevel"/>
    <w:tmpl w:val="84C0467C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F3814"/>
    <w:multiLevelType w:val="hybridMultilevel"/>
    <w:tmpl w:val="3E5A7F3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74825"/>
    <w:multiLevelType w:val="hybridMultilevel"/>
    <w:tmpl w:val="26DC0E2A"/>
    <w:lvl w:ilvl="0" w:tplc="C71E87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43412"/>
    <w:rsid w:val="00053B0F"/>
    <w:rsid w:val="0008684C"/>
    <w:rsid w:val="000B16E5"/>
    <w:rsid w:val="000D71E7"/>
    <w:rsid w:val="000E7D16"/>
    <w:rsid w:val="000F15DB"/>
    <w:rsid w:val="001406B3"/>
    <w:rsid w:val="001412CD"/>
    <w:rsid w:val="001433C6"/>
    <w:rsid w:val="001D01B4"/>
    <w:rsid w:val="001E3BBD"/>
    <w:rsid w:val="001E5C77"/>
    <w:rsid w:val="00202928"/>
    <w:rsid w:val="0023351F"/>
    <w:rsid w:val="00250075"/>
    <w:rsid w:val="00285999"/>
    <w:rsid w:val="0029539F"/>
    <w:rsid w:val="00307775"/>
    <w:rsid w:val="003104B3"/>
    <w:rsid w:val="0034245A"/>
    <w:rsid w:val="003429B4"/>
    <w:rsid w:val="0034389D"/>
    <w:rsid w:val="00351657"/>
    <w:rsid w:val="00353408"/>
    <w:rsid w:val="00391167"/>
    <w:rsid w:val="003A28B9"/>
    <w:rsid w:val="003D2A22"/>
    <w:rsid w:val="00477285"/>
    <w:rsid w:val="0048566D"/>
    <w:rsid w:val="004B12A2"/>
    <w:rsid w:val="004F20F1"/>
    <w:rsid w:val="004F5086"/>
    <w:rsid w:val="004F5C5B"/>
    <w:rsid w:val="00564468"/>
    <w:rsid w:val="005E0E9F"/>
    <w:rsid w:val="005E36D0"/>
    <w:rsid w:val="00602514"/>
    <w:rsid w:val="00645013"/>
    <w:rsid w:val="006603DD"/>
    <w:rsid w:val="0067496B"/>
    <w:rsid w:val="006D766D"/>
    <w:rsid w:val="006F19C6"/>
    <w:rsid w:val="00722B35"/>
    <w:rsid w:val="00723D75"/>
    <w:rsid w:val="00737665"/>
    <w:rsid w:val="007522AB"/>
    <w:rsid w:val="00753A19"/>
    <w:rsid w:val="00757484"/>
    <w:rsid w:val="0078164B"/>
    <w:rsid w:val="0078618F"/>
    <w:rsid w:val="007B5D1B"/>
    <w:rsid w:val="007D2118"/>
    <w:rsid w:val="007E1E13"/>
    <w:rsid w:val="008207BD"/>
    <w:rsid w:val="00861872"/>
    <w:rsid w:val="00892617"/>
    <w:rsid w:val="008971D9"/>
    <w:rsid w:val="008C58E6"/>
    <w:rsid w:val="008D20B6"/>
    <w:rsid w:val="00934CDC"/>
    <w:rsid w:val="00937349"/>
    <w:rsid w:val="009B089D"/>
    <w:rsid w:val="00A212F9"/>
    <w:rsid w:val="00A4321E"/>
    <w:rsid w:val="00A4552F"/>
    <w:rsid w:val="00A82C52"/>
    <w:rsid w:val="00AA1758"/>
    <w:rsid w:val="00AC77B5"/>
    <w:rsid w:val="00AF4A14"/>
    <w:rsid w:val="00B008BE"/>
    <w:rsid w:val="00B40C73"/>
    <w:rsid w:val="00B85C02"/>
    <w:rsid w:val="00BE244E"/>
    <w:rsid w:val="00C06568"/>
    <w:rsid w:val="00C10A17"/>
    <w:rsid w:val="00C56F41"/>
    <w:rsid w:val="00CD23F6"/>
    <w:rsid w:val="00CE554D"/>
    <w:rsid w:val="00D911DD"/>
    <w:rsid w:val="00DB22C6"/>
    <w:rsid w:val="00DD6964"/>
    <w:rsid w:val="00DE6A9E"/>
    <w:rsid w:val="00E162E8"/>
    <w:rsid w:val="00E6113C"/>
    <w:rsid w:val="00E66ACD"/>
    <w:rsid w:val="00EE3AC6"/>
    <w:rsid w:val="00F32D48"/>
    <w:rsid w:val="00F46DB6"/>
    <w:rsid w:val="00F46E94"/>
    <w:rsid w:val="00F61747"/>
    <w:rsid w:val="00F83963"/>
    <w:rsid w:val="00F969C5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5E1FC"/>
  <w15:docId w15:val="{21845182-764D-4A24-ADC6-ACE5519C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2">
    <w:name w:val="Pa12"/>
    <w:basedOn w:val="Default"/>
    <w:next w:val="Default"/>
    <w:uiPriority w:val="99"/>
    <w:rsid w:val="00A212F9"/>
    <w:pPr>
      <w:spacing w:line="161" w:lineRule="atLeast"/>
    </w:pPr>
    <w:rPr>
      <w:rFonts w:ascii="Myriad Pro" w:eastAsia="Times New Roman" w:hAnsi="Myriad Pro" w:cs="Times New Roman"/>
      <w:color w:val="auto"/>
      <w:lang w:eastAsia="pl-PL"/>
    </w:rPr>
  </w:style>
  <w:style w:type="paragraph" w:customStyle="1" w:styleId="Pa31">
    <w:name w:val="Pa31"/>
    <w:basedOn w:val="Default"/>
    <w:next w:val="Default"/>
    <w:uiPriority w:val="99"/>
    <w:rsid w:val="00A212F9"/>
    <w:pPr>
      <w:spacing w:line="161" w:lineRule="atLeast"/>
    </w:pPr>
    <w:rPr>
      <w:rFonts w:ascii="Myriad Pro" w:eastAsia="Times New Roman" w:hAnsi="Myriad Pro" w:cs="Times New Roman"/>
      <w:color w:val="auto"/>
      <w:lang w:eastAsia="pl-PL"/>
    </w:rPr>
  </w:style>
  <w:style w:type="table" w:styleId="Tabela-Siatka">
    <w:name w:val="Table Grid"/>
    <w:basedOn w:val="Standardowy"/>
    <w:uiPriority w:val="39"/>
    <w:rsid w:val="009373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8971D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8F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TableContentsuser">
    <w:name w:val="Table Contents (user)"/>
    <w:basedOn w:val="Normalny"/>
    <w:uiPriority w:val="99"/>
    <w:rsid w:val="004B12A2"/>
    <w:pPr>
      <w:widowControl w:val="0"/>
      <w:suppressLineNumbers/>
      <w:suppressAutoHyphens/>
    </w:pPr>
    <w:rPr>
      <w:rFonts w:eastAsia="Times New Roman"/>
      <w:kern w:val="2"/>
      <w:lang w:val="de-DE" w:eastAsia="fa-IR" w:bidi="fa-IR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2A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leContents">
    <w:name w:val="Table Contents"/>
    <w:basedOn w:val="Standard"/>
    <w:uiPriority w:val="99"/>
    <w:rsid w:val="004B12A2"/>
    <w:pPr>
      <w:widowControl w:val="0"/>
      <w:suppressLineNumbers/>
      <w:autoSpaceDN/>
      <w:textAlignment w:val="auto"/>
    </w:pPr>
    <w:rPr>
      <w:rFonts w:eastAsia="Times New Roman" w:cs="Times New Roman"/>
      <w:kern w:val="2"/>
      <w:lang w:val="de-DE" w:eastAsia="fa-IR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6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6E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6E5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Łukasz Sendo</cp:lastModifiedBy>
  <cp:revision>2</cp:revision>
  <cp:lastPrinted>2023-10-25T12:51:00Z</cp:lastPrinted>
  <dcterms:created xsi:type="dcterms:W3CDTF">2023-11-17T07:38:00Z</dcterms:created>
  <dcterms:modified xsi:type="dcterms:W3CDTF">2023-11-17T07:38:00Z</dcterms:modified>
</cp:coreProperties>
</file>