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40D" w:rsidRDefault="00E4140D" w:rsidP="00E4140D">
      <w:pPr>
        <w:jc w:val="center"/>
      </w:pPr>
      <w:bookmarkStart w:id="0" w:name="_GoBack"/>
      <w:r>
        <w:t>Szczegółowy wykaz kar umownych.</w:t>
      </w:r>
    </w:p>
    <w:bookmarkEnd w:id="0"/>
    <w:p w:rsidR="003E7DBF" w:rsidRDefault="003E7DBF" w:rsidP="003E7DBF">
      <w:pPr>
        <w:pStyle w:val="Akapitzlist"/>
        <w:numPr>
          <w:ilvl w:val="0"/>
          <w:numId w:val="2"/>
        </w:numPr>
        <w:jc w:val="both"/>
      </w:pPr>
      <w:r>
        <w:t>Wykonawca zobowiązuje się zapłacić Zamawiającemu następujące kary umowne: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20% wartości brutto poszczególnego Zlecenia dostawy materiałów eksploatacyjnych z tytułu niewykonania lub nienależytego wykonania poszczególnego Zlecenia dostawy materiałów eksploatacyjnych z powodu okoliczności, za które odpowiedzialność spoczywa na Wykonawcy,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0,20% wartości brutto poszczególnego Zlecenia dostawy, za każdy rozpoczęty dzień zwłoki w wykonaniu poszczególnego Zlecenia dostawy materiałów eksploatacyjnych,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 xml:space="preserve">20% całkowitej wartości przedmiotu umowy brutto, o której mowa w </w:t>
      </w:r>
      <w:r>
        <w:rPr>
          <w:rFonts w:cs="Calibri"/>
        </w:rPr>
        <w:t>§</w:t>
      </w:r>
      <w:r>
        <w:t xml:space="preserve"> 3 ust. 1, w razie wypowiedzenia lub odstąpienia od Umowy w całości przez Zamawiającego lub Wykonawcę, za które odpowiedzialność spoczywa na Wykonawcy,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20% wartości brutto poszczególnego Zlecenia dostawy w razie odstąpienia od Umowy w części dotyczącej danego Zlecenia dostawy materiałów eksploatacyjnych przez Zamawiającego lub Wykonawcę z powodu okoliczności, za które odpowiedzialność spoczywa na Wykonawcy,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 xml:space="preserve">200 zł (słownie: dwieście zł 00/100) z tytułu przekroczenia wymaganego czasu skutecznej konserwacji urządzenia za każdą rozpoczętą godzinę zwłoki licząc od 07:30 do 15:30 w dni robocze (tj. bez sobót i dni ustawowo wolnych od pracy), 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500 zł (słownie: pięćset zł 00/100) z tytułu przekroczenia czasu naprawy za każdy rozpoczęty dzień zwłoki,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500 zł (słownie: pięćset zł 00/100) za przekroczenie czasu dostarczenia urządzenia zastępczego lub wymiany urządzenia na fabrycznie nowe za każdy rozpoczęty dzień zwłoki,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50% ceny jednostkowej brutto danego jednostkowego materiału eksploatacyjnego za każdą wadliwą sztukę dostarczona w ramach wymiany gwarancyjnej,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10% wartości brutto poszczególnego Zlecenia dostawy, w przypadku ujawnienia w danym zamówieniu jednostkowej sztuki danego materiału eksploatacyjnego nie posiadającej oznakowań lub oznaczonej symbolem innej firmy niż wskazana w Załączniku nr 1 do Umowy,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100 zł (słownie: sto zł 00/100) za każdy rozpoczęty dzień zwłoki w realizacji zgłoszonej wymiany gwarancyjnej (obejmującej odbiór i dostarczenia materiałów), za każdą zgłoszoną do reklamacji sztukę materiału,</w:t>
      </w:r>
    </w:p>
    <w:p w:rsidR="003E7DBF" w:rsidRDefault="003E7DBF" w:rsidP="003E7DBF">
      <w:pPr>
        <w:pStyle w:val="Akapitzlist"/>
        <w:numPr>
          <w:ilvl w:val="0"/>
          <w:numId w:val="1"/>
        </w:numPr>
        <w:jc w:val="both"/>
      </w:pPr>
      <w:r>
        <w:t>W przypadku, gdy liczba reklamacji (w szczególności z tytułu: wysypywania/wylania środka barwiącego, braku kompatybilności z oprogramowaniem urządzeń drukujących, nierównomiernego zaczernienia/zabarwienia drukowanego tekstu lub grafiki, niejednakowego nasycenia barw na całym wydruku, stwierdzenia śladów uszkodzeń zewnętrznych oraz uprzedniego używania materiału eksploatacyjnego) danego rodzaju materiału eksploatacyjnego w stosunku do liczby wymaganych przez Zamawiającego materiałów eksploatacyjnych danego rodzaju podanych w formularzu ofertowym przekroczy:</w:t>
      </w:r>
    </w:p>
    <w:p w:rsidR="003E7DBF" w:rsidRDefault="003E7DBF" w:rsidP="003E7DBF">
      <w:pPr>
        <w:pStyle w:val="Akapitzlist"/>
        <w:numPr>
          <w:ilvl w:val="0"/>
          <w:numId w:val="3"/>
        </w:numPr>
        <w:jc w:val="both"/>
      </w:pPr>
      <w:r>
        <w:t>5% - Zamawiający ma prawo do naliczenia kary umownej w wysokości 10% wartości brutto zaoferowanej przez Wykonawcę ceny dla tego rodzaju materiałów eksploatacyjnych, obliczonej dla wszystkich tego rodzaju materiałów eksploatacyjnych dostarczonych w wyniku realizacji Zleceń dostaw,</w:t>
      </w:r>
    </w:p>
    <w:p w:rsidR="003E7DBF" w:rsidRDefault="003E7DBF" w:rsidP="003E7DBF">
      <w:pPr>
        <w:pStyle w:val="Akapitzlist"/>
        <w:numPr>
          <w:ilvl w:val="0"/>
          <w:numId w:val="3"/>
        </w:numPr>
        <w:jc w:val="both"/>
      </w:pPr>
      <w:r>
        <w:t xml:space="preserve">10% - Zamawiający naliczy kary umowne określone w pkt A powyżej, przyjmując, że dane zdarzenie stanowi nienależyte wykonanie Umowy (odsetek reklamacji materiałów eksploatacyjnych danego typu ujawnionych w ramach zrealizowanych dostaw podlega </w:t>
      </w:r>
      <w:r>
        <w:lastRenderedPageBreak/>
        <w:t>sumowaniu). W takim przypadku Zamawiający ma prawo również skorzystać z uprawnienia do odstąpienia od Umowy (wg swojego wyboru - w całości lub w niezrealizowanym zakresie), w terminie 60 dni od dnia przekroczenia wyżej określonego poziomu 10%.</w:t>
      </w:r>
    </w:p>
    <w:p w:rsidR="003E7DBF" w:rsidRDefault="003E7DBF" w:rsidP="003E7DBF">
      <w:pPr>
        <w:pStyle w:val="Akapitzlist"/>
        <w:numPr>
          <w:ilvl w:val="0"/>
          <w:numId w:val="2"/>
        </w:numPr>
        <w:spacing w:after="0"/>
        <w:ind w:left="714" w:hanging="357"/>
        <w:jc w:val="both"/>
      </w:pPr>
      <w:r>
        <w:t xml:space="preserve">Zapłata kar umownych, o których mowa w ust. </w:t>
      </w:r>
      <w:r w:rsidR="0095664F">
        <w:t>1</w:t>
      </w:r>
      <w:r>
        <w:t xml:space="preserve"> powyżej nie zwalnia Wykonawcy z obowiązku wykonania Przedmiotu umowy, z wyjątkiem sytuacji określonej pkt. K lit. b powyżej w przypadku, gdy Zamawiający skorzysta z możliwości odstąpienia od umowy.</w:t>
      </w:r>
    </w:p>
    <w:p w:rsidR="003E7DBF" w:rsidRDefault="003E7DBF" w:rsidP="003E7DB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</w:pPr>
      <w:r>
        <w:rPr>
          <w:rFonts w:ascii="Calibri" w:hAnsi="Calibri" w:cs="Arial"/>
          <w:color w:val="000000"/>
        </w:rPr>
        <w:t xml:space="preserve">Prawo naliczenia kar umownych, o których mowa w ust. </w:t>
      </w:r>
      <w:r w:rsidR="0095664F">
        <w:rPr>
          <w:rFonts w:ascii="Calibri" w:hAnsi="Calibri" w:cs="Arial"/>
          <w:color w:val="000000"/>
        </w:rPr>
        <w:t>1</w:t>
      </w:r>
      <w:r>
        <w:rPr>
          <w:rFonts w:ascii="Calibri" w:hAnsi="Calibri" w:cs="Arial"/>
          <w:color w:val="000000"/>
        </w:rPr>
        <w:t xml:space="preserve"> powyżej nie ma zastosowania w przypadku, gdy opóźnienie wynika z winy Zamawiającego lub jest spowodowane siłą wyższą.</w:t>
      </w:r>
    </w:p>
    <w:p w:rsidR="003E7DBF" w:rsidRDefault="003E7DBF" w:rsidP="003E7DB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</w:pPr>
      <w:r>
        <w:rPr>
          <w:rFonts w:ascii="Calibri" w:hAnsi="Calibri" w:cs="Arial"/>
          <w:color w:val="000000"/>
        </w:rPr>
        <w:t xml:space="preserve">Wykonawca oświadcza, że wyraża zgodę na potrącenie z wystawionej faktury VAT (w rozumieniu art. 498 i 499 KC) powstałej należności, poprzez naliczenie kary umownej w wysokości, o której mowa w ust. </w:t>
      </w:r>
      <w:r w:rsidR="0095664F">
        <w:rPr>
          <w:rFonts w:ascii="Calibri" w:hAnsi="Calibri" w:cs="Arial"/>
          <w:color w:val="000000"/>
        </w:rPr>
        <w:t>1</w:t>
      </w:r>
      <w:r>
        <w:rPr>
          <w:rFonts w:ascii="Calibri" w:hAnsi="Calibri" w:cs="Arial"/>
          <w:color w:val="000000"/>
        </w:rPr>
        <w:t xml:space="preserve"> powyżej. Jednocześnie Wykonawca oświadcza, że powyższe stwierdzenie  nie zostało złożone pod wpływem błędu, ani nie jest obarczone jakąkolwiek inną wadą oświadczenia woli skutkującą jej nieważnością.</w:t>
      </w:r>
    </w:p>
    <w:p w:rsidR="003E7DBF" w:rsidRDefault="003E7DBF" w:rsidP="003E7DB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</w:pPr>
      <w:r>
        <w:rPr>
          <w:rFonts w:ascii="Calibri" w:hAnsi="Calibri" w:cs="Arial"/>
          <w:color w:val="000000"/>
        </w:rPr>
        <w:t>Strony mogą dochodzić na zasadach ogólnych odszkodowania przewyższającego kary umowne.</w:t>
      </w:r>
    </w:p>
    <w:p w:rsidR="003E7DBF" w:rsidRDefault="003E7DBF" w:rsidP="003E7DB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</w:pPr>
      <w:r>
        <w:rPr>
          <w:rFonts w:ascii="Calibri" w:hAnsi="Calibri" w:cs="Arial"/>
          <w:color w:val="000000"/>
        </w:rPr>
        <w:t xml:space="preserve">Odstąpienie od umowy pozostaje bez wpływu na roszczenia o zapłatę kar, o których mowa w ust </w:t>
      </w:r>
      <w:r w:rsidR="00CA3D38">
        <w:rPr>
          <w:rFonts w:ascii="Calibri" w:hAnsi="Calibri" w:cs="Arial"/>
          <w:color w:val="000000"/>
        </w:rPr>
        <w:t>1</w:t>
      </w:r>
      <w:r>
        <w:rPr>
          <w:rFonts w:ascii="Calibri" w:hAnsi="Calibri" w:cs="Arial"/>
          <w:color w:val="000000"/>
        </w:rPr>
        <w:t xml:space="preserve"> powyżej, które stały się wymagalne przed okresem odstąpienia, chyba że w umowie wyraźnie postanowiono inaczej.</w:t>
      </w:r>
    </w:p>
    <w:p w:rsidR="003E7DBF" w:rsidRDefault="003E7DBF" w:rsidP="003E7DB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</w:pPr>
      <w:r>
        <w:rPr>
          <w:rFonts w:ascii="Calibri" w:eastAsia="Times New Roman" w:hAnsi="Calibri" w:cs="Arial"/>
          <w:color w:val="000000"/>
          <w:lang w:eastAsia="ar-SA"/>
        </w:rPr>
        <w:t>Kary umowne mogą być naliczane niezależnie od siebie i podlegają sumowaniu,</w:t>
      </w:r>
    </w:p>
    <w:p w:rsidR="003E7DBF" w:rsidRDefault="003E7DBF" w:rsidP="00813E57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</w:pPr>
      <w:r>
        <w:rPr>
          <w:rFonts w:ascii="Calibri" w:eastAsia="Times New Roman" w:hAnsi="Calibri" w:cs="Arial"/>
          <w:color w:val="000000"/>
          <w:lang w:eastAsia="ar-SA"/>
        </w:rPr>
        <w:t>Łączna maksymalna wysokość kar umownych jakich może dochodzić Zamawiający od Wykonaw</w:t>
      </w:r>
      <w:r w:rsidR="00CA3D38">
        <w:rPr>
          <w:rFonts w:ascii="Calibri" w:eastAsia="Times New Roman" w:hAnsi="Calibri" w:cs="Arial"/>
          <w:color w:val="000000"/>
          <w:lang w:eastAsia="ar-SA"/>
        </w:rPr>
        <w:t>c</w:t>
      </w:r>
      <w:r>
        <w:rPr>
          <w:rFonts w:ascii="Calibri" w:eastAsia="Times New Roman" w:hAnsi="Calibri" w:cs="Arial"/>
          <w:color w:val="000000"/>
          <w:lang w:eastAsia="ar-SA"/>
        </w:rPr>
        <w:t xml:space="preserve">y wynosi 30 % całkowitej wartości przedmiotu umowy brutto, o której mowa w </w:t>
      </w:r>
      <w:r>
        <w:rPr>
          <w:rFonts w:ascii="Calibri" w:eastAsia="Times New Roman" w:hAnsi="Calibri" w:cs="Calibri"/>
          <w:color w:val="000000"/>
          <w:lang w:eastAsia="ar-SA"/>
        </w:rPr>
        <w:t>§</w:t>
      </w:r>
      <w:r w:rsidR="00F34B3F">
        <w:rPr>
          <w:rFonts w:ascii="Calibri" w:eastAsia="Times New Roman" w:hAnsi="Calibri" w:cs="Arial"/>
          <w:color w:val="000000"/>
          <w:lang w:eastAsia="ar-SA"/>
        </w:rPr>
        <w:t> </w:t>
      </w:r>
      <w:r>
        <w:rPr>
          <w:rFonts w:ascii="Calibri" w:eastAsia="Times New Roman" w:hAnsi="Calibri" w:cs="Arial"/>
          <w:color w:val="000000"/>
          <w:lang w:eastAsia="ar-SA"/>
        </w:rPr>
        <w:t>3 ust. 1</w:t>
      </w:r>
      <w:r w:rsidR="00F34B3F">
        <w:rPr>
          <w:rFonts w:ascii="Calibri" w:eastAsia="Times New Roman" w:hAnsi="Calibri" w:cs="Arial"/>
          <w:color w:val="000000"/>
          <w:lang w:eastAsia="ar-SA"/>
        </w:rPr>
        <w:t xml:space="preserve"> umowy</w:t>
      </w:r>
      <w:r>
        <w:rPr>
          <w:rFonts w:ascii="Calibri" w:eastAsia="Times New Roman" w:hAnsi="Calibri" w:cs="Arial"/>
          <w:color w:val="000000"/>
          <w:lang w:eastAsia="ar-SA"/>
        </w:rPr>
        <w:t xml:space="preserve">. </w:t>
      </w:r>
    </w:p>
    <w:sectPr w:rsidR="003E7DBF" w:rsidSect="00E047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951" w:rsidRDefault="00CB3951" w:rsidP="0095664F">
      <w:pPr>
        <w:spacing w:after="0" w:line="240" w:lineRule="auto"/>
      </w:pPr>
      <w:r>
        <w:separator/>
      </w:r>
    </w:p>
  </w:endnote>
  <w:endnote w:type="continuationSeparator" w:id="0">
    <w:p w:rsidR="00CB3951" w:rsidRDefault="00CB3951" w:rsidP="0095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951" w:rsidRDefault="00CB3951" w:rsidP="0095664F">
      <w:pPr>
        <w:spacing w:after="0" w:line="240" w:lineRule="auto"/>
      </w:pPr>
      <w:r>
        <w:separator/>
      </w:r>
    </w:p>
  </w:footnote>
  <w:footnote w:type="continuationSeparator" w:id="0">
    <w:p w:rsidR="00CB3951" w:rsidRDefault="00CB3951" w:rsidP="00956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64F" w:rsidRDefault="0095664F">
    <w:pPr>
      <w:pStyle w:val="Nagwek"/>
    </w:pPr>
    <w:r>
      <w:tab/>
    </w:r>
    <w:r>
      <w:tab/>
      <w:t>Załącznik nr 4 do umowy nr …/TI/2023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1"/>
    <w:multiLevelType w:val="singleLevel"/>
    <w:tmpl w:val="00000011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24"/>
      </w:rPr>
    </w:lvl>
  </w:abstractNum>
  <w:abstractNum w:abstractNumId="3" w15:restartNumberingAfterBreak="0">
    <w:nsid w:val="00000012"/>
    <w:multiLevelType w:val="multilevel"/>
    <w:tmpl w:val="00000012"/>
    <w:name w:val="WW8Num28"/>
    <w:lvl w:ilvl="0">
      <w:start w:val="4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color w:val="00000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ascii="Calibri" w:hAnsi="Calibri" w:cs="Arial" w:hint="default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BF"/>
    <w:rsid w:val="0039510A"/>
    <w:rsid w:val="003E7DBF"/>
    <w:rsid w:val="006D3E64"/>
    <w:rsid w:val="00800D61"/>
    <w:rsid w:val="00813E57"/>
    <w:rsid w:val="00895C48"/>
    <w:rsid w:val="0095664F"/>
    <w:rsid w:val="00CA3D38"/>
    <w:rsid w:val="00CB3951"/>
    <w:rsid w:val="00E0472F"/>
    <w:rsid w:val="00E4140D"/>
    <w:rsid w:val="00E508E9"/>
    <w:rsid w:val="00F3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1A989-28FF-4F6E-AB46-C5B7E89A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7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qFormat/>
    <w:rsid w:val="003E7DBF"/>
    <w:pPr>
      <w:ind w:left="720"/>
      <w:contextualSpacing/>
    </w:pPr>
    <w:rPr>
      <w:rFonts w:ascii="Calibri" w:eastAsia="Calibri" w:hAnsi="Calibri" w:cs="Times New Roman"/>
      <w:lang w:eastAsia="zh-CN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qFormat/>
    <w:rsid w:val="003E7DBF"/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95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5664F"/>
  </w:style>
  <w:style w:type="paragraph" w:styleId="Stopka">
    <w:name w:val="footer"/>
    <w:basedOn w:val="Normalny"/>
    <w:link w:val="StopkaZnak"/>
    <w:uiPriority w:val="99"/>
    <w:semiHidden/>
    <w:unhideWhenUsed/>
    <w:rsid w:val="0095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56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A84057</dc:creator>
  <cp:lastModifiedBy>KWP WROCŁAW</cp:lastModifiedBy>
  <cp:revision>2</cp:revision>
  <dcterms:created xsi:type="dcterms:W3CDTF">2023-09-27T09:47:00Z</dcterms:created>
  <dcterms:modified xsi:type="dcterms:W3CDTF">2023-09-27T09:47:00Z</dcterms:modified>
</cp:coreProperties>
</file>