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0422" w14:textId="17D142B5" w:rsidR="00D145B8" w:rsidRDefault="00D145B8" w:rsidP="0087575C">
      <w:pPr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51F8E49B" wp14:editId="1A733659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3B3" w14:textId="19FE5102" w:rsidR="00D145B8" w:rsidRPr="004D122C" w:rsidRDefault="00D145B8" w:rsidP="00D145B8">
      <w:pPr>
        <w:ind w:left="5664" w:firstLine="708"/>
        <w:rPr>
          <w:rFonts w:ascii="Times New Roman" w:hAnsi="Times New Roman" w:cs="Times New Roman"/>
        </w:rPr>
      </w:pPr>
      <w:r w:rsidRPr="004D122C">
        <w:rPr>
          <w:rFonts w:ascii="Times New Roman" w:hAnsi="Times New Roman" w:cs="Times New Roman"/>
        </w:rPr>
        <w:t xml:space="preserve">Golub-Dobrzyń, </w:t>
      </w:r>
      <w:r w:rsidR="009B3280">
        <w:rPr>
          <w:rFonts w:ascii="Times New Roman" w:hAnsi="Times New Roman" w:cs="Times New Roman"/>
        </w:rPr>
        <w:t>18.11</w:t>
      </w:r>
      <w:r>
        <w:rPr>
          <w:rFonts w:ascii="Times New Roman" w:hAnsi="Times New Roman" w:cs="Times New Roman"/>
        </w:rPr>
        <w:t>.2022r</w:t>
      </w:r>
      <w:r w:rsidRPr="004D122C">
        <w:rPr>
          <w:rFonts w:ascii="Times New Roman" w:hAnsi="Times New Roman" w:cs="Times New Roman"/>
        </w:rPr>
        <w:t>.</w:t>
      </w:r>
    </w:p>
    <w:p w14:paraId="0AFEC931" w14:textId="03454C39" w:rsidR="00D145B8" w:rsidRPr="00D145B8" w:rsidRDefault="00D145B8" w:rsidP="00D145B8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</w:t>
      </w:r>
      <w:r w:rsidR="0043108F">
        <w:rPr>
          <w:rFonts w:ascii="Times New Roman" w:hAnsi="Times New Roman" w:cs="Times New Roman"/>
        </w:rPr>
        <w:t>.</w:t>
      </w:r>
      <w:r w:rsidR="009B3280">
        <w:rPr>
          <w:rFonts w:ascii="Times New Roman" w:hAnsi="Times New Roman" w:cs="Times New Roman"/>
        </w:rPr>
        <w:t>8</w:t>
      </w:r>
      <w:r w:rsidRPr="00D145B8">
        <w:rPr>
          <w:rFonts w:ascii="Times New Roman" w:hAnsi="Times New Roman" w:cs="Times New Roman"/>
        </w:rPr>
        <w:t>.2022</w:t>
      </w:r>
    </w:p>
    <w:bookmarkEnd w:id="0"/>
    <w:p w14:paraId="25A4360E" w14:textId="6426A925" w:rsidR="004230AC" w:rsidRPr="00D145B8" w:rsidRDefault="004D122C" w:rsidP="004805E8">
      <w:pPr>
        <w:spacing w:after="200" w:line="276" w:lineRule="auto"/>
        <w:jc w:val="both"/>
        <w:rPr>
          <w:rFonts w:ascii="Times New Roman" w:hAnsi="Times New Roman" w:cs="Times New Roman"/>
          <w:i/>
          <w:iCs/>
        </w:rPr>
      </w:pPr>
      <w:r w:rsidRPr="004D122C">
        <w:rPr>
          <w:rFonts w:ascii="Times New Roman" w:hAnsi="Times New Roman" w:cs="Times New Roman"/>
          <w:b/>
          <w:bCs/>
        </w:rPr>
        <w:t xml:space="preserve">Dotyczy: </w:t>
      </w:r>
      <w:r w:rsidRPr="004D122C">
        <w:rPr>
          <w:rFonts w:ascii="Times New Roman" w:hAnsi="Times New Roman" w:cs="Times New Roman"/>
        </w:rPr>
        <w:t xml:space="preserve">postępowania o udzielenie zamówienia publicznego nr </w:t>
      </w:r>
      <w:r w:rsidR="00D145B8" w:rsidRPr="00D145B8">
        <w:rPr>
          <w:rFonts w:ascii="Times New Roman" w:hAnsi="Times New Roman" w:cs="Times New Roman"/>
        </w:rPr>
        <w:t>SZP.272.</w:t>
      </w:r>
      <w:r w:rsidR="009B3280">
        <w:rPr>
          <w:rFonts w:ascii="Times New Roman" w:hAnsi="Times New Roman" w:cs="Times New Roman"/>
        </w:rPr>
        <w:t>8</w:t>
      </w:r>
      <w:r w:rsidR="00D145B8" w:rsidRPr="00D145B8">
        <w:rPr>
          <w:rFonts w:ascii="Times New Roman" w:hAnsi="Times New Roman" w:cs="Times New Roman"/>
        </w:rPr>
        <w:t>.2022</w:t>
      </w:r>
      <w:r w:rsidR="00D145B8">
        <w:rPr>
          <w:rFonts w:ascii="Times New Roman" w:hAnsi="Times New Roman" w:cs="Times New Roman"/>
        </w:rPr>
        <w:t xml:space="preserve"> </w:t>
      </w:r>
      <w:r w:rsidRPr="004D122C">
        <w:rPr>
          <w:rFonts w:ascii="Times New Roman" w:hAnsi="Times New Roman" w:cs="Times New Roman"/>
        </w:rPr>
        <w:t>p.n</w:t>
      </w:r>
      <w:r w:rsidRPr="00D145B8">
        <w:rPr>
          <w:rFonts w:ascii="Times New Roman" w:hAnsi="Times New Roman" w:cs="Times New Roman"/>
          <w:i/>
          <w:iCs/>
        </w:rPr>
        <w:t>.:</w:t>
      </w:r>
      <w:bookmarkStart w:id="1" w:name="_Hlk73444030"/>
      <w:bookmarkStart w:id="2" w:name="_Hlk73446819"/>
      <w:r w:rsidRPr="00D145B8">
        <w:rPr>
          <w:rFonts w:ascii="Times New Roman" w:hAnsi="Times New Roman" w:cs="Times New Roman"/>
          <w:i/>
          <w:iCs/>
        </w:rPr>
        <w:t xml:space="preserve"> </w:t>
      </w:r>
      <w:bookmarkEnd w:id="1"/>
      <w:r w:rsidR="009B3280" w:rsidRPr="009B3280">
        <w:rPr>
          <w:rFonts w:ascii="Times New Roman" w:hAnsi="Times New Roman" w:cs="Times New Roman"/>
          <w:i/>
          <w:iCs/>
        </w:rPr>
        <w:t>„Dostawa i montaż regałów z przeznaczeniem na dokumentację Starostwa Powiatowego w Golubiu-Dobrzyniu”</w:t>
      </w:r>
    </w:p>
    <w:bookmarkEnd w:id="2"/>
    <w:p w14:paraId="056D61DA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8520D1" w14:textId="504FA0EA" w:rsidR="004D122C" w:rsidRDefault="008865E4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741B75">
        <w:rPr>
          <w:rFonts w:ascii="Times New Roman" w:hAnsi="Times New Roman" w:cs="Times New Roman"/>
          <w:b/>
          <w:bCs/>
          <w:u w:val="single"/>
        </w:rPr>
        <w:t>miana</w:t>
      </w:r>
      <w:r w:rsidR="00D145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122C" w:rsidRPr="004D122C">
        <w:rPr>
          <w:rFonts w:ascii="Times New Roman" w:hAnsi="Times New Roman" w:cs="Times New Roman"/>
          <w:b/>
          <w:bCs/>
          <w:u w:val="single"/>
        </w:rPr>
        <w:t>Specyfikacji Warunków Zamówienia</w:t>
      </w:r>
    </w:p>
    <w:p w14:paraId="19DD1E1B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71CF9B" w14:textId="46CB3FFD" w:rsidR="00FA3642" w:rsidRPr="00864906" w:rsidRDefault="00FA3642" w:rsidP="009B328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FA3642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 xml:space="preserve">w </w:t>
      </w:r>
      <w:r w:rsidRPr="00FA3642">
        <w:rPr>
          <w:rFonts w:ascii="Times New Roman" w:hAnsi="Times New Roman" w:cs="Times New Roman"/>
        </w:rPr>
        <w:t xml:space="preserve">Specyfikacji Warunków Zamówienia </w:t>
      </w:r>
      <w:r>
        <w:rPr>
          <w:rFonts w:ascii="Times New Roman" w:hAnsi="Times New Roman" w:cs="Times New Roman"/>
        </w:rPr>
        <w:t>dokonuje następującej zmiany:</w:t>
      </w:r>
    </w:p>
    <w:p w14:paraId="61E1DBFD" w14:textId="48D9766B" w:rsidR="005B4B19" w:rsidRDefault="00864906" w:rsidP="009B328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4B19" w:rsidRPr="00C9272B">
        <w:rPr>
          <w:rFonts w:ascii="Times New Roman" w:hAnsi="Times New Roman" w:cs="Times New Roman"/>
        </w:rPr>
        <w:t xml:space="preserve">)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9B3280">
        <w:rPr>
          <w:rFonts w:ascii="Times New Roman" w:hAnsi="Times New Roman" w:cs="Times New Roman"/>
        </w:rPr>
        <w:t>21.3</w:t>
      </w:r>
      <w:r w:rsidR="005B4B19" w:rsidRPr="00C9272B">
        <w:rPr>
          <w:rFonts w:ascii="Times New Roman" w:hAnsi="Times New Roman" w:cs="Times New Roman"/>
        </w:rPr>
        <w:t xml:space="preserve">. </w:t>
      </w:r>
      <w:r w:rsidR="005B4B19" w:rsidRPr="005B4B19">
        <w:rPr>
          <w:rFonts w:ascii="Times New Roman" w:hAnsi="Times New Roman" w:cs="Times New Roman"/>
        </w:rPr>
        <w:t>otrzymuje brzmienie</w:t>
      </w:r>
      <w:r w:rsidR="005B4B19">
        <w:rPr>
          <w:rFonts w:ascii="Times New Roman" w:hAnsi="Times New Roman" w:cs="Times New Roman"/>
        </w:rPr>
        <w:t>:</w:t>
      </w:r>
    </w:p>
    <w:p w14:paraId="3806DF0A" w14:textId="73F452BB" w:rsidR="009B3280" w:rsidRPr="00ED4A9A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3" w:name="_Hlk119498077"/>
      <w:r>
        <w:rPr>
          <w:rFonts w:ascii="Times New Roman" w:eastAsia="Times New Roman" w:hAnsi="Times New Roman" w:cs="Times New Roman"/>
          <w:b/>
          <w:bCs/>
          <w:lang w:eastAsia="zh-CN"/>
        </w:rPr>
        <w:t>„</w:t>
      </w:r>
      <w:r w:rsidRPr="00121A70">
        <w:rPr>
          <w:rFonts w:ascii="Times New Roman" w:eastAsia="Times New Roman" w:hAnsi="Times New Roman" w:cs="Times New Roman"/>
          <w:b/>
          <w:bCs/>
          <w:lang w:eastAsia="zh-CN"/>
        </w:rPr>
        <w:t>21.</w:t>
      </w:r>
      <w:r>
        <w:rPr>
          <w:rFonts w:ascii="Times New Roman" w:eastAsia="Times New Roman" w:hAnsi="Times New Roman" w:cs="Times New Roman"/>
          <w:b/>
          <w:bCs/>
          <w:lang w:eastAsia="zh-CN"/>
        </w:rPr>
        <w:t>3</w:t>
      </w:r>
      <w:r w:rsidRPr="00121A70">
        <w:rPr>
          <w:rFonts w:ascii="Times New Roman" w:eastAsia="Times New Roman" w:hAnsi="Times New Roman" w:cs="Times New Roman"/>
          <w:b/>
          <w:bCs/>
          <w:lang w:eastAsia="zh-CN"/>
        </w:rPr>
        <w:t xml:space="preserve">. </w:t>
      </w:r>
      <w:bookmarkEnd w:id="3"/>
      <w:r w:rsidRPr="00ED4A9A">
        <w:rPr>
          <w:rFonts w:ascii="Times New Roman" w:eastAsia="Times New Roman" w:hAnsi="Times New Roman" w:cs="Times New Roman"/>
          <w:b/>
          <w:lang w:eastAsia="ar-SA"/>
        </w:rPr>
        <w:t xml:space="preserve">Kryterium Gwarancja (G)– maks.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40 </w:t>
      </w:r>
      <w:r w:rsidRPr="00ED4A9A">
        <w:rPr>
          <w:rFonts w:ascii="Times New Roman" w:eastAsia="Times New Roman" w:hAnsi="Times New Roman" w:cs="Times New Roman"/>
          <w:b/>
          <w:lang w:eastAsia="ar-SA"/>
        </w:rPr>
        <w:t>pkt</w:t>
      </w:r>
    </w:p>
    <w:p w14:paraId="7AA74AC9" w14:textId="77777777" w:rsidR="009B3280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Obligatoryjny okres gwarancji dla każdego wykonawcy wynosi </w:t>
      </w:r>
      <w:r>
        <w:rPr>
          <w:rFonts w:ascii="Times New Roman" w:eastAsia="Times New Roman" w:hAnsi="Times New Roman" w:cs="Times New Roman"/>
          <w:b/>
          <w:lang w:eastAsia="zh-CN"/>
        </w:rPr>
        <w:t>24</w:t>
      </w:r>
      <w:r w:rsidRPr="00570DB3">
        <w:rPr>
          <w:rFonts w:ascii="Times New Roman" w:eastAsia="Times New Roman" w:hAnsi="Times New Roman" w:cs="Times New Roman"/>
          <w:b/>
          <w:lang w:eastAsia="zh-CN"/>
        </w:rPr>
        <w:t xml:space="preserve"> miesięcy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od dnia podpisania protokołu odbioru końcowego robót i do takiego okresu gwarancji zobowiązany jest każdy Wykonawca. Oferta Wykonawcy, który zaproponuje krótszy okres gwarancji zostanie odrzucona na podstawie art. </w:t>
      </w:r>
      <w:r>
        <w:rPr>
          <w:rFonts w:ascii="Times New Roman" w:eastAsia="Times New Roman" w:hAnsi="Times New Roman" w:cs="Times New Roman"/>
          <w:bCs/>
          <w:lang w:eastAsia="zh-CN"/>
        </w:rPr>
        <w:t>226 ust.1 pkt 5)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14:paraId="7EECFE25" w14:textId="60D155CB" w:rsidR="009B3280" w:rsidRPr="00612A17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Maksymalny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okres gwarancji </w:t>
      </w:r>
      <w:r w:rsidRPr="00570DB3">
        <w:rPr>
          <w:rFonts w:ascii="Times New Roman" w:eastAsia="Times New Roman" w:hAnsi="Times New Roman" w:cs="Times New Roman"/>
          <w:bCs/>
          <w:lang w:eastAsia="zh-CN"/>
        </w:rPr>
        <w:t xml:space="preserve">wynosi </w:t>
      </w:r>
      <w:r>
        <w:rPr>
          <w:rFonts w:ascii="Times New Roman" w:eastAsia="Times New Roman" w:hAnsi="Times New Roman" w:cs="Times New Roman"/>
          <w:bCs/>
          <w:lang w:eastAsia="zh-CN"/>
        </w:rPr>
        <w:t>48</w:t>
      </w:r>
      <w:r w:rsidRPr="00570DB3">
        <w:rPr>
          <w:rFonts w:ascii="Times New Roman" w:eastAsia="Times New Roman" w:hAnsi="Times New Roman" w:cs="Times New Roman"/>
          <w:bCs/>
          <w:lang w:eastAsia="zh-CN"/>
        </w:rPr>
        <w:t xml:space="preserve"> miesięcy licząc od dnia 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podpisania protokołu odbioru końcowego robót. Jeżeli Wykonawca zaproponuje okres gwarancji dłuższy niż </w:t>
      </w:r>
      <w:r>
        <w:rPr>
          <w:rFonts w:ascii="Times New Roman" w:eastAsia="Times New Roman" w:hAnsi="Times New Roman" w:cs="Times New Roman"/>
          <w:bCs/>
          <w:lang w:eastAsia="zh-CN"/>
        </w:rPr>
        <w:t>48 miesięcy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, Zamawiający uzna, że zaoferowano </w:t>
      </w:r>
      <w:r>
        <w:rPr>
          <w:rFonts w:ascii="Times New Roman" w:eastAsia="Times New Roman" w:hAnsi="Times New Roman" w:cs="Times New Roman"/>
          <w:bCs/>
          <w:lang w:eastAsia="zh-CN"/>
        </w:rPr>
        <w:t>48 miesięczny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okres gwarancji i w takiej sytuacji przyzna ofercie 40 pkt. w kryterium 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. Do umowy zostanie wpisany również </w:t>
      </w:r>
      <w:r>
        <w:rPr>
          <w:rFonts w:ascii="Times New Roman" w:eastAsia="Times New Roman" w:hAnsi="Times New Roman" w:cs="Times New Roman"/>
          <w:bCs/>
          <w:lang w:eastAsia="zh-CN"/>
        </w:rPr>
        <w:t>48</w:t>
      </w:r>
      <w:r w:rsidRPr="00570DB3">
        <w:rPr>
          <w:rFonts w:ascii="Times New Roman" w:eastAsia="Times New Roman" w:hAnsi="Times New Roman" w:cs="Times New Roman"/>
          <w:bCs/>
          <w:lang w:eastAsia="zh-CN"/>
        </w:rPr>
        <w:t xml:space="preserve"> miesięczny 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>okres gwarancji.</w:t>
      </w:r>
    </w:p>
    <w:p w14:paraId="64DEDED4" w14:textId="77777777" w:rsidR="009B3280" w:rsidRPr="00612A17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Oferta Wykonawcy, który zaproponuje </w:t>
      </w:r>
      <w:r>
        <w:rPr>
          <w:rFonts w:ascii="Times New Roman" w:eastAsia="Times New Roman" w:hAnsi="Times New Roman" w:cs="Times New Roman"/>
          <w:b/>
          <w:lang w:eastAsia="zh-CN"/>
        </w:rPr>
        <w:t>24</w:t>
      </w:r>
      <w:r w:rsidRPr="00570DB3">
        <w:rPr>
          <w:rFonts w:ascii="Times New Roman" w:eastAsia="Times New Roman" w:hAnsi="Times New Roman" w:cs="Times New Roman"/>
          <w:b/>
          <w:lang w:eastAsia="zh-CN"/>
        </w:rPr>
        <w:t xml:space="preserve"> miesięczny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okres gwarancji otrzyma w kryterium 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– 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br/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 xml:space="preserve">0 punktów. </w:t>
      </w:r>
    </w:p>
    <w:p w14:paraId="551761ED" w14:textId="77777777" w:rsidR="009B3280" w:rsidRPr="00612A17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Oferta Wykonawcy, który zaproponuje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36 miesięczny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okres gwarancji otrzyma w kryterium 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– 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br/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 xml:space="preserve">20 punktów. </w:t>
      </w:r>
    </w:p>
    <w:p w14:paraId="7D14A50C" w14:textId="20918676" w:rsidR="009B3280" w:rsidRDefault="009B3280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Oferta Wykonawcy, który zaproponuje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48 miesięczny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okres gwarancji otrzyma w kryterium P</w:t>
      </w:r>
      <w:r w:rsidRPr="00612A17">
        <w:rPr>
          <w:rFonts w:ascii="Times New Roman" w:eastAsia="Times New Roman" w:hAnsi="Times New Roman" w:cs="Times New Roman"/>
          <w:bCs/>
          <w:vertAlign w:val="subscript"/>
          <w:lang w:eastAsia="zh-CN"/>
        </w:rPr>
        <w:t>2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t xml:space="preserve"> – </w:t>
      </w:r>
      <w:r w:rsidRPr="00612A17">
        <w:rPr>
          <w:rFonts w:ascii="Times New Roman" w:eastAsia="Times New Roman" w:hAnsi="Times New Roman" w:cs="Times New Roman"/>
          <w:bCs/>
          <w:lang w:eastAsia="zh-CN"/>
        </w:rPr>
        <w:br/>
      </w:r>
      <w:r w:rsidRPr="00612A17">
        <w:rPr>
          <w:rFonts w:ascii="Times New Roman" w:eastAsia="Times New Roman" w:hAnsi="Times New Roman" w:cs="Times New Roman"/>
          <w:b/>
          <w:bCs/>
          <w:lang w:eastAsia="zh-CN"/>
        </w:rPr>
        <w:t>40 punktów.</w:t>
      </w:r>
      <w:r>
        <w:rPr>
          <w:rFonts w:ascii="Times New Roman" w:eastAsia="Times New Roman" w:hAnsi="Times New Roman" w:cs="Times New Roman"/>
          <w:b/>
          <w:bCs/>
          <w:lang w:eastAsia="zh-CN"/>
        </w:rPr>
        <w:t>”</w:t>
      </w:r>
    </w:p>
    <w:p w14:paraId="09E01571" w14:textId="315ACC4B" w:rsidR="008D6C73" w:rsidRPr="008D6C73" w:rsidRDefault="008D6C73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2)  Rozdział 28 otrzymuje brzmienie</w:t>
      </w:r>
      <w:r>
        <w:rPr>
          <w:rFonts w:ascii="Times New Roman" w:eastAsia="Times New Roman" w:hAnsi="Times New Roman" w:cs="Times New Roman"/>
          <w:lang w:eastAsia="zh-CN"/>
        </w:rPr>
        <w:t>:</w:t>
      </w:r>
    </w:p>
    <w:p w14:paraId="03D7EDC5" w14:textId="67200B39" w:rsidR="008D6C73" w:rsidRPr="008D6C73" w:rsidRDefault="008D6C73" w:rsidP="008D6C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„</w:t>
      </w:r>
      <w:r w:rsidRPr="008D6C73">
        <w:rPr>
          <w:rFonts w:ascii="Times New Roman" w:eastAsia="Times New Roman" w:hAnsi="Times New Roman" w:cs="Times New Roman"/>
          <w:lang w:eastAsia="zh-CN"/>
        </w:rPr>
        <w:t>28. OCHRONA DANYCH OSOBOWYCH</w:t>
      </w:r>
    </w:p>
    <w:p w14:paraId="0DC950D9" w14:textId="169AD7F9" w:rsidR="008D6C73" w:rsidRPr="008D6C73" w:rsidRDefault="008D6C73" w:rsidP="008D6C7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2F43BC" w14:textId="77777777" w:rsidR="008D6C73" w:rsidRPr="008D6C73" w:rsidRDefault="008D6C73" w:rsidP="008D6C7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 xml:space="preserve">administratorem Pani/Pana danych osobowych jest </w:t>
      </w:r>
      <w:r w:rsidRPr="008D6C73">
        <w:rPr>
          <w:rFonts w:ascii="Times New Roman" w:eastAsia="Times New Roman" w:hAnsi="Times New Roman" w:cs="Times New Roman"/>
          <w:i/>
          <w:lang w:eastAsia="zh-CN"/>
        </w:rPr>
        <w:t xml:space="preserve">Powiat Golubsko-Dobrzyński reprezentowany przez Zarząd Powiatu Golubsko-Dobrzyńskiego, ul. Plac 1000-lecia 25, 87-400 Golub-Dobrzyń; </w:t>
      </w:r>
    </w:p>
    <w:p w14:paraId="53467842" w14:textId="77777777" w:rsidR="008D6C73" w:rsidRPr="008D6C73" w:rsidRDefault="008D6C73" w:rsidP="008D6C7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 xml:space="preserve">Powiat Golubsko-Dobrzyński posiada inspektora ochrony danych osobowych. Kontakt z inspektorem jest możliwy pod adresem e-mail: </w:t>
      </w:r>
      <w:hyperlink r:id="rId8" w:history="1">
        <w:r w:rsidRPr="008D6C73">
          <w:rPr>
            <w:rStyle w:val="Hipercze"/>
            <w:rFonts w:ascii="Times New Roman" w:eastAsia="Times New Roman" w:hAnsi="Times New Roman" w:cs="Times New Roman"/>
            <w:lang w:eastAsia="zh-CN"/>
          </w:rPr>
          <w:t>iod.powiat@golub-dobrzyn.com.pl</w:t>
        </w:r>
      </w:hyperlink>
      <w:r w:rsidRPr="008D6C73">
        <w:rPr>
          <w:rFonts w:ascii="Times New Roman" w:eastAsia="Times New Roman" w:hAnsi="Times New Roman" w:cs="Times New Roman"/>
          <w:lang w:eastAsia="zh-CN"/>
        </w:rPr>
        <w:t xml:space="preserve"> lub pocztą tradycyjną: Inspektor Danych Osobowych Starostwa Powiatowego w Golubiu-Dobrzyniu, ul. Plac 1000-lecia 25, 87-400 Golub-Dobrzyń;</w:t>
      </w:r>
    </w:p>
    <w:p w14:paraId="51806AA5" w14:textId="77777777" w:rsidR="008D6C73" w:rsidRPr="008D6C73" w:rsidRDefault="008D6C73" w:rsidP="008D6C73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Pani/Pana dane osobowe przetwarzane będą na podstawie art. 6 ust. 1 lit. c</w:t>
      </w:r>
      <w:r w:rsidRPr="008D6C7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8D6C73">
        <w:rPr>
          <w:rFonts w:ascii="Times New Roman" w:eastAsia="Times New Roman" w:hAnsi="Times New Roman" w:cs="Times New Roman"/>
          <w:lang w:eastAsia="zh-CN"/>
        </w:rPr>
        <w:t>RODO w celu związanym z postępowaniem o udzielenie zamówienia publicznego SZP.272.8.2022</w:t>
      </w:r>
      <w:r w:rsidRPr="008D6C73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8D6C73">
        <w:rPr>
          <w:rFonts w:ascii="Times New Roman" w:eastAsia="Times New Roman" w:hAnsi="Times New Roman" w:cs="Times New Roman"/>
          <w:iCs/>
          <w:lang w:eastAsia="zh-CN"/>
        </w:rPr>
        <w:t>którego przedmiotem jest</w:t>
      </w:r>
      <w:r w:rsidRPr="008D6C73">
        <w:rPr>
          <w:rFonts w:ascii="Times New Roman" w:eastAsia="Times New Roman" w:hAnsi="Times New Roman" w:cs="Times New Roman"/>
          <w:lang w:eastAsia="zh-CN"/>
        </w:rPr>
        <w:t xml:space="preserve"> „Dostawa i montaż regałów z przeznaczeniem na dokumentację Starostwa Powiatowego w Golubiu-Dobrzyniu” prowadzonym w trybie podstawowym;</w:t>
      </w:r>
    </w:p>
    <w:p w14:paraId="468820A5" w14:textId="77777777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odbiorcami Pani/Pana danych osobowych będą osoby lub podmioty, którym udostępniona zostanie dokumentacja postępowania w oparciu o Ustawę z dnia 11 września 2019 roku Prawo zamówień publicznych (Dz. U. z 2022r., poz. 1710 ze zm.);</w:t>
      </w:r>
    </w:p>
    <w:p w14:paraId="6F593893" w14:textId="77777777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lastRenderedPageBreak/>
        <w:t xml:space="preserve">Pani/Pana dane osobowe będą przechowywane, zgodnie z art. 97 ust. 1 ustawy </w:t>
      </w:r>
      <w:proofErr w:type="spellStart"/>
      <w:r w:rsidRPr="008D6C73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8D6C73">
        <w:rPr>
          <w:rFonts w:ascii="Times New Roman" w:eastAsia="Times New Roman" w:hAnsi="Times New Roman" w:cs="Times New Roman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4CDC490D" w14:textId="7CE48EDA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D6C73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8D6C73">
        <w:rPr>
          <w:rFonts w:ascii="Times New Roman" w:eastAsia="Times New Roman" w:hAnsi="Times New Roman" w:cs="Times New Roman"/>
          <w:lang w:eastAsia="zh-C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6C73">
        <w:rPr>
          <w:rFonts w:ascii="Times New Roman" w:eastAsia="Times New Roman" w:hAnsi="Times New Roman" w:cs="Times New Roman"/>
          <w:lang w:eastAsia="zh-CN"/>
        </w:rPr>
        <w:t>Pzp</w:t>
      </w:r>
      <w:proofErr w:type="spellEnd"/>
      <w:r w:rsidRPr="008D6C73">
        <w:rPr>
          <w:rFonts w:ascii="Times New Roman" w:eastAsia="Times New Roman" w:hAnsi="Times New Roman" w:cs="Times New Roman"/>
          <w:lang w:eastAsia="zh-CN"/>
        </w:rPr>
        <w:t xml:space="preserve">;  </w:t>
      </w:r>
    </w:p>
    <w:p w14:paraId="39EB560F" w14:textId="77777777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w odniesieniu do Pani/Pana danych osobowych decyzje nie będą podejmowane w sposób zautomatyzowany, stosowanie do art. 22 RODO;</w:t>
      </w:r>
    </w:p>
    <w:p w14:paraId="14514B3A" w14:textId="77777777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posiada Pani/Pan:</w:t>
      </w:r>
    </w:p>
    <w:p w14:paraId="0DBFB861" w14:textId="77777777" w:rsidR="008D6C73" w:rsidRPr="008D6C73" w:rsidRDefault="008D6C73" w:rsidP="008D6C7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na podstawie art. 15 RODO prawo dostępu do danych osobowych Pani/Pana dotyczących;</w:t>
      </w:r>
    </w:p>
    <w:p w14:paraId="0F111F95" w14:textId="77777777" w:rsidR="008D6C73" w:rsidRPr="008D6C73" w:rsidRDefault="008D6C73" w:rsidP="008D6C7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na podstawie art. 16 RODO prawo do sprostowania Pani/Pana danych osobowych</w:t>
      </w:r>
      <w:r w:rsidRPr="008D6C73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8D6C73">
        <w:rPr>
          <w:rFonts w:ascii="Times New Roman" w:eastAsia="Times New Roman" w:hAnsi="Times New Roman" w:cs="Times New Roman"/>
          <w:lang w:eastAsia="zh-CN"/>
        </w:rPr>
        <w:t>;</w:t>
      </w:r>
    </w:p>
    <w:p w14:paraId="1EF54F67" w14:textId="77777777" w:rsidR="008D6C73" w:rsidRPr="008D6C73" w:rsidRDefault="008D6C73" w:rsidP="008D6C7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na podstawie art. 18 RODO prawo żądania od administratora ograniczenia przetwarzania danych osobowych z zastrzeżeniem przypadków, o których mowa w art. 18 ust. 2 RODO</w:t>
      </w:r>
      <w:r w:rsidRPr="008D6C73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D6C73">
        <w:rPr>
          <w:rFonts w:ascii="Times New Roman" w:eastAsia="Times New Roman" w:hAnsi="Times New Roman" w:cs="Times New Roman"/>
          <w:lang w:eastAsia="zh-CN"/>
        </w:rPr>
        <w:t xml:space="preserve">;  </w:t>
      </w:r>
    </w:p>
    <w:p w14:paraId="43F3E5B4" w14:textId="77777777" w:rsidR="008D6C73" w:rsidRPr="008D6C73" w:rsidRDefault="008D6C73" w:rsidP="008D6C73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14:paraId="7EC00892" w14:textId="77777777" w:rsidR="008D6C73" w:rsidRPr="008D6C73" w:rsidRDefault="008D6C73" w:rsidP="008D6C73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nie przysługuje Pani/Panu:</w:t>
      </w:r>
    </w:p>
    <w:p w14:paraId="2815D59B" w14:textId="77777777" w:rsidR="008D6C73" w:rsidRPr="008D6C73" w:rsidRDefault="008D6C73" w:rsidP="008D6C7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w związku z art. 17 ust. 3 lit. b, d lub e RODO prawo do usunięcia danych osobowych;</w:t>
      </w:r>
    </w:p>
    <w:p w14:paraId="68B06BDB" w14:textId="77777777" w:rsidR="008D6C73" w:rsidRPr="008D6C73" w:rsidRDefault="008D6C73" w:rsidP="008D6C7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prawo do przenoszenia danych osobowych, o którym mowa w art. 20 RODO;</w:t>
      </w:r>
    </w:p>
    <w:p w14:paraId="53269483" w14:textId="3399E108" w:rsidR="008D6C73" w:rsidRPr="008D6C73" w:rsidRDefault="008D6C73" w:rsidP="008D6C73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8D6C73">
        <w:rPr>
          <w:rFonts w:ascii="Times New Roman" w:eastAsia="Times New Roman" w:hAnsi="Times New Roman" w:cs="Times New Roman"/>
          <w:lang w:eastAsia="zh-CN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Times New Roman" w:eastAsia="Times New Roman" w:hAnsi="Times New Roman" w:cs="Times New Roman"/>
          <w:lang w:eastAsia="zh-CN"/>
        </w:rPr>
        <w:t>”</w:t>
      </w:r>
    </w:p>
    <w:p w14:paraId="4B1B6D1C" w14:textId="77777777" w:rsidR="008D6C73" w:rsidRPr="00612A17" w:rsidRDefault="008D6C73" w:rsidP="009B328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79D6E3C0" w14:textId="41722F00" w:rsidR="00864906" w:rsidRDefault="00864906" w:rsidP="009B3280">
      <w:pPr>
        <w:spacing w:after="0" w:line="276" w:lineRule="auto"/>
        <w:ind w:left="4956" w:firstLine="708"/>
        <w:rPr>
          <w:rFonts w:ascii="Times New Roman" w:hAnsi="Times New Roman" w:cs="Times New Roman"/>
        </w:rPr>
      </w:pPr>
    </w:p>
    <w:p w14:paraId="5481E306" w14:textId="59D54408" w:rsidR="008B57EC" w:rsidRDefault="008B57EC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659FC756" w14:textId="77777777" w:rsidR="009B3280" w:rsidRDefault="009B3280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37A606C0" w14:textId="3283801F" w:rsidR="004D122C" w:rsidRPr="00FC06B2" w:rsidRDefault="00D30355" w:rsidP="00D3035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 xml:space="preserve">   </w:t>
      </w:r>
      <w:r w:rsidR="004D122C" w:rsidRPr="00FC06B2">
        <w:rPr>
          <w:rFonts w:ascii="Times New Roman" w:hAnsi="Times New Roman" w:cs="Times New Roman"/>
          <w:b/>
          <w:bCs/>
        </w:rPr>
        <w:t>Zatwierdził</w:t>
      </w:r>
    </w:p>
    <w:p w14:paraId="4515E5C9" w14:textId="77B047E3" w:rsidR="00FC06B2" w:rsidRPr="00FC06B2" w:rsidRDefault="00FC06B2" w:rsidP="00D14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Pr="00FC06B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CA83" w14:textId="0E4D333A" w:rsidR="00D145B8" w:rsidRDefault="00D145B8" w:rsidP="00D145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Starosta Golubsko-Dobrzyński</w:t>
      </w:r>
    </w:p>
    <w:p w14:paraId="2345ACFA" w14:textId="77777777" w:rsidR="00DC3264" w:rsidRDefault="00DC3264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5DD3E7" w14:textId="79B34051" w:rsidR="00D145B8" w:rsidRPr="001D1C34" w:rsidRDefault="009B3280" w:rsidP="009B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</w:t>
      </w:r>
      <w:r w:rsidR="00D145B8" w:rsidRPr="001D1C34">
        <w:rPr>
          <w:rFonts w:ascii="Times New Roman" w:hAnsi="Times New Roman" w:cs="Times New Roman"/>
          <w:b/>
          <w:bCs/>
          <w:sz w:val="23"/>
          <w:szCs w:val="23"/>
        </w:rPr>
        <w:t>Franciszek Gutowski</w:t>
      </w:r>
    </w:p>
    <w:p w14:paraId="7ECC32DA" w14:textId="2607E246" w:rsidR="00D145B8" w:rsidRDefault="00D145B8" w:rsidP="004D122C">
      <w:pPr>
        <w:rPr>
          <w:rFonts w:ascii="Times New Roman" w:hAnsi="Times New Roman" w:cs="Times New Roman"/>
          <w:b/>
          <w:bCs/>
        </w:rPr>
      </w:pPr>
    </w:p>
    <w:p w14:paraId="17806668" w14:textId="33E5687E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5D1CC9D7" w14:textId="3478357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35B8A9D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FC98E86" w14:textId="726DAF73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74F0C9E2" w14:textId="77777777" w:rsidR="008B57EC" w:rsidRP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58FB64DC" w14:textId="77777777" w:rsidR="00800CD0" w:rsidRPr="00BC29AB" w:rsidRDefault="00800CD0" w:rsidP="004D122C">
      <w:pPr>
        <w:rPr>
          <w:rFonts w:ascii="Times New Roman" w:hAnsi="Times New Roman" w:cs="Times New Roman"/>
          <w:b/>
          <w:bCs/>
          <w:color w:val="FFFFFF" w:themeColor="background1"/>
        </w:rPr>
      </w:pPr>
    </w:p>
    <w:p w14:paraId="249B6428" w14:textId="7210DAEA" w:rsidR="004D122C" w:rsidRPr="00BC29AB" w:rsidRDefault="004D122C" w:rsidP="0061497F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C29AB">
        <w:rPr>
          <w:rFonts w:ascii="Times New Roman" w:hAnsi="Times New Roman" w:cs="Times New Roman"/>
          <w:color w:val="FFFFFF" w:themeColor="background1"/>
          <w:sz w:val="20"/>
          <w:szCs w:val="20"/>
        </w:rPr>
        <w:t>Sporządził</w:t>
      </w:r>
      <w:r w:rsidR="00557ADA" w:rsidRPr="00BC29AB">
        <w:rPr>
          <w:rFonts w:ascii="Times New Roman" w:hAnsi="Times New Roman" w:cs="Times New Roman"/>
          <w:color w:val="FFFFFF" w:themeColor="background1"/>
          <w:sz w:val="20"/>
          <w:szCs w:val="20"/>
        </w:rPr>
        <w:t>a</w:t>
      </w:r>
      <w:r w:rsidRPr="00BC29AB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: Agnieszka </w:t>
      </w:r>
      <w:proofErr w:type="spellStart"/>
      <w:r w:rsidRPr="00BC29AB">
        <w:rPr>
          <w:rFonts w:ascii="Times New Roman" w:hAnsi="Times New Roman" w:cs="Times New Roman"/>
          <w:color w:val="FFFFFF" w:themeColor="background1"/>
          <w:sz w:val="20"/>
          <w:szCs w:val="20"/>
        </w:rPr>
        <w:t>Wiwatowska</w:t>
      </w:r>
      <w:proofErr w:type="spellEnd"/>
    </w:p>
    <w:p w14:paraId="782ED4C8" w14:textId="021A7DBB" w:rsidR="004D122C" w:rsidRPr="00BC29AB" w:rsidRDefault="004D122C" w:rsidP="0061497F">
      <w:pPr>
        <w:spacing w:after="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BC29AB">
        <w:rPr>
          <w:rFonts w:ascii="Times New Roman" w:hAnsi="Times New Roman" w:cs="Times New Roman"/>
          <w:color w:val="FFFFFF" w:themeColor="background1"/>
          <w:sz w:val="20"/>
          <w:szCs w:val="20"/>
        </w:rPr>
        <w:t>Sprawdził: Łukasz Mazurkiewicz</w:t>
      </w:r>
    </w:p>
    <w:sectPr w:rsidR="004D122C" w:rsidRPr="00BC29AB" w:rsidSect="0087575C">
      <w:pgSz w:w="11906" w:h="16838"/>
      <w:pgMar w:top="851" w:right="141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F8D9" w14:textId="77777777" w:rsidR="00255FF8" w:rsidRDefault="00255FF8" w:rsidP="008D6C73">
      <w:pPr>
        <w:spacing w:after="0" w:line="240" w:lineRule="auto"/>
      </w:pPr>
      <w:r>
        <w:separator/>
      </w:r>
    </w:p>
  </w:endnote>
  <w:endnote w:type="continuationSeparator" w:id="0">
    <w:p w14:paraId="2619D8E1" w14:textId="77777777" w:rsidR="00255FF8" w:rsidRDefault="00255FF8" w:rsidP="008D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DDF0" w14:textId="77777777" w:rsidR="00255FF8" w:rsidRDefault="00255FF8" w:rsidP="008D6C73">
      <w:pPr>
        <w:spacing w:after="0" w:line="240" w:lineRule="auto"/>
      </w:pPr>
      <w:r>
        <w:separator/>
      </w:r>
    </w:p>
  </w:footnote>
  <w:footnote w:type="continuationSeparator" w:id="0">
    <w:p w14:paraId="1BE4B5AA" w14:textId="77777777" w:rsidR="00255FF8" w:rsidRDefault="00255FF8" w:rsidP="008D6C73">
      <w:pPr>
        <w:spacing w:after="0" w:line="240" w:lineRule="auto"/>
      </w:pPr>
      <w:r>
        <w:continuationSeparator/>
      </w:r>
    </w:p>
  </w:footnote>
  <w:footnote w:id="1">
    <w:p w14:paraId="0A1C4B45" w14:textId="77777777" w:rsidR="008D6C73" w:rsidRPr="00C6711E" w:rsidRDefault="008D6C73" w:rsidP="008D6C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30BA3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30BA3">
        <w:rPr>
          <w:rFonts w:ascii="Times New Roman" w:hAnsi="Times New Roman"/>
          <w:sz w:val="18"/>
          <w:szCs w:val="18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skorzystanie z prawa do sprostowania nie może skutkować zmianą wyniku postępowania o udzielenie zamówienia publicznego ani zmiana postanowień umowy w zakresie niezgodnym z ustawą </w:t>
      </w:r>
      <w:proofErr w:type="spellStart"/>
      <w:r w:rsidRPr="00C6711E">
        <w:rPr>
          <w:rFonts w:ascii="Times New Roman" w:hAnsi="Times New Roman"/>
          <w:sz w:val="16"/>
          <w:szCs w:val="16"/>
        </w:rPr>
        <w:t>Pzp</w:t>
      </w:r>
      <w:proofErr w:type="spellEnd"/>
      <w:r w:rsidRPr="00C6711E">
        <w:rPr>
          <w:rFonts w:ascii="Times New Roman" w:hAnsi="Times New Roman"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7A805C32" w14:textId="77777777" w:rsidR="008D6C73" w:rsidRPr="00D9372D" w:rsidRDefault="008D6C73" w:rsidP="008D6C7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6711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711E">
        <w:rPr>
          <w:rFonts w:ascii="Times New Roman" w:hAnsi="Times New Roman"/>
          <w:sz w:val="16"/>
          <w:szCs w:val="16"/>
        </w:rPr>
        <w:t xml:space="preserve"> </w:t>
      </w:r>
      <w:r w:rsidRPr="00C6711E">
        <w:rPr>
          <w:rFonts w:ascii="Times New Roman" w:hAnsi="Times New Roman"/>
          <w:b/>
          <w:sz w:val="16"/>
          <w:szCs w:val="16"/>
        </w:rPr>
        <w:t>Wyjaśnienie:</w:t>
      </w:r>
      <w:r w:rsidRPr="00C6711E">
        <w:rPr>
          <w:rFonts w:ascii="Times New Roman" w:hAnsi="Times New Roman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9372D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C230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40FA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54052698">
    <w:abstractNumId w:val="4"/>
  </w:num>
  <w:num w:numId="2" w16cid:durableId="444539366">
    <w:abstractNumId w:val="3"/>
  </w:num>
  <w:num w:numId="3" w16cid:durableId="820317000">
    <w:abstractNumId w:val="1"/>
  </w:num>
  <w:num w:numId="4" w16cid:durableId="2124837075">
    <w:abstractNumId w:val="0"/>
  </w:num>
  <w:num w:numId="5" w16cid:durableId="32729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C"/>
    <w:rsid w:val="00002E99"/>
    <w:rsid w:val="000374B3"/>
    <w:rsid w:val="000B3853"/>
    <w:rsid w:val="000E3E5A"/>
    <w:rsid w:val="00133EC1"/>
    <w:rsid w:val="001D5F3A"/>
    <w:rsid w:val="001F0177"/>
    <w:rsid w:val="00200076"/>
    <w:rsid w:val="00255FF8"/>
    <w:rsid w:val="002643AD"/>
    <w:rsid w:val="00281940"/>
    <w:rsid w:val="00361EBC"/>
    <w:rsid w:val="003645BE"/>
    <w:rsid w:val="00396E1F"/>
    <w:rsid w:val="004230AC"/>
    <w:rsid w:val="0043108F"/>
    <w:rsid w:val="004805E8"/>
    <w:rsid w:val="004D122C"/>
    <w:rsid w:val="00524598"/>
    <w:rsid w:val="00557ADA"/>
    <w:rsid w:val="005B4B19"/>
    <w:rsid w:val="005E09D4"/>
    <w:rsid w:val="0060647C"/>
    <w:rsid w:val="0061497F"/>
    <w:rsid w:val="0063058C"/>
    <w:rsid w:val="00674519"/>
    <w:rsid w:val="006B1059"/>
    <w:rsid w:val="0072427A"/>
    <w:rsid w:val="00741B75"/>
    <w:rsid w:val="007D5D9B"/>
    <w:rsid w:val="00800CD0"/>
    <w:rsid w:val="00837F40"/>
    <w:rsid w:val="00864906"/>
    <w:rsid w:val="0087575C"/>
    <w:rsid w:val="008865E4"/>
    <w:rsid w:val="008B57EC"/>
    <w:rsid w:val="008D6C73"/>
    <w:rsid w:val="008E7A1A"/>
    <w:rsid w:val="0090285A"/>
    <w:rsid w:val="009113CC"/>
    <w:rsid w:val="00965C87"/>
    <w:rsid w:val="00971B01"/>
    <w:rsid w:val="009B3280"/>
    <w:rsid w:val="009F34F7"/>
    <w:rsid w:val="00A2125D"/>
    <w:rsid w:val="00B4443A"/>
    <w:rsid w:val="00B80F84"/>
    <w:rsid w:val="00BB3E82"/>
    <w:rsid w:val="00BB5F70"/>
    <w:rsid w:val="00BC29AB"/>
    <w:rsid w:val="00C43432"/>
    <w:rsid w:val="00C67924"/>
    <w:rsid w:val="00C820DB"/>
    <w:rsid w:val="00C9272B"/>
    <w:rsid w:val="00D05FE2"/>
    <w:rsid w:val="00D145B8"/>
    <w:rsid w:val="00D30355"/>
    <w:rsid w:val="00D65F24"/>
    <w:rsid w:val="00D902DD"/>
    <w:rsid w:val="00D91B59"/>
    <w:rsid w:val="00DC3264"/>
    <w:rsid w:val="00E13EB9"/>
    <w:rsid w:val="00E636A4"/>
    <w:rsid w:val="00F32BFD"/>
    <w:rsid w:val="00F81C40"/>
    <w:rsid w:val="00F83E00"/>
    <w:rsid w:val="00FA3642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093"/>
  <w15:chartTrackingRefBased/>
  <w15:docId w15:val="{1F420E9F-C747-4FBE-A29E-8C2A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6C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6C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D6C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6C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powiat@golub-dobrzyn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58</cp:revision>
  <cp:lastPrinted>2022-05-19T07:23:00Z</cp:lastPrinted>
  <dcterms:created xsi:type="dcterms:W3CDTF">2021-06-15T09:33:00Z</dcterms:created>
  <dcterms:modified xsi:type="dcterms:W3CDTF">2022-11-18T13:58:00Z</dcterms:modified>
</cp:coreProperties>
</file>