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EF1C2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PROGRAM FUNKCJONALNO-UŻYTKOWY</w:t>
      </w:r>
    </w:p>
    <w:p w:rsidR="00DE0BBC" w:rsidRDefault="00EF1C2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OPIS TECHNICZNY</w:t>
      </w: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EF1C2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Modernizacja systemu zasilania - zwiększenie mocy zainstalowanej 2x1250kVA</w:t>
      </w: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DE0BBC">
      <w:pPr>
        <w:pStyle w:val="Standard"/>
        <w:jc w:val="center"/>
        <w:rPr>
          <w:sz w:val="32"/>
          <w:szCs w:val="32"/>
        </w:rPr>
      </w:pPr>
    </w:p>
    <w:p w:rsidR="00DE0BBC" w:rsidRDefault="00EF1C2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SPIS TREŚCI</w:t>
      </w:r>
    </w:p>
    <w:p w:rsidR="00DE0BBC" w:rsidRDefault="00EF1C2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Zakres modernizacji</w:t>
      </w:r>
    </w:p>
    <w:p w:rsidR="00DE0BBC" w:rsidRDefault="00EF1C2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 xml:space="preserve">Wymagania dotyczące </w:t>
      </w:r>
      <w:r>
        <w:rPr>
          <w:sz w:val="32"/>
          <w:szCs w:val="32"/>
        </w:rPr>
        <w:t>transformatorów</w:t>
      </w:r>
    </w:p>
    <w:p w:rsidR="00DE0BBC" w:rsidRDefault="00EF1C2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Wymagania dotyczące rozdzielnicy NN</w:t>
      </w:r>
    </w:p>
    <w:p w:rsidR="00DE0BBC" w:rsidRDefault="00EF1C2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Referencje</w:t>
      </w:r>
    </w:p>
    <w:p w:rsidR="00DE0BBC" w:rsidRDefault="00DE0BBC">
      <w:pPr>
        <w:pStyle w:val="Standard"/>
        <w:jc w:val="center"/>
      </w:pPr>
    </w:p>
    <w:p w:rsidR="00DE0BBC" w:rsidRDefault="00EF1C25">
      <w:pPr>
        <w:pStyle w:val="Nagwek1"/>
        <w:pageBreakBefore w:val="0"/>
        <w:rPr>
          <w:rFonts w:ascii="Arial" w:hAnsi="Arial" w:cs="Arial"/>
          <w:u w:val="none"/>
          <w:lang w:eastAsia="pl-PL"/>
        </w:rPr>
      </w:pPr>
      <w:bookmarkStart w:id="0" w:name="__RefHeading___Toc11043077"/>
      <w:r>
        <w:rPr>
          <w:rFonts w:ascii="Arial" w:hAnsi="Arial" w:cs="Arial"/>
          <w:u w:val="none"/>
          <w:lang w:eastAsia="pl-PL"/>
        </w:rPr>
        <w:t>Zakres modernizacji</w:t>
      </w:r>
      <w:bookmarkEnd w:id="0"/>
    </w:p>
    <w:p w:rsidR="00DE0BBC" w:rsidRDefault="00EF1C25">
      <w:pPr>
        <w:pStyle w:val="Textbody"/>
      </w:pPr>
      <w:r>
        <w:rPr>
          <w:color w:val="000000"/>
        </w:rPr>
        <w:t xml:space="preserve">Ze względu na zwiększone zapotrzebowanie na moc, Zamawiający przewiduje wzmocnienie systemu energetycznego do poziomu 2x1250kVA. W tym celu przewiduje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>:</w:t>
      </w:r>
    </w:p>
    <w:p w:rsidR="00DE0BBC" w:rsidRDefault="00EF1C25">
      <w:pPr>
        <w:pStyle w:val="Textbody"/>
        <w:numPr>
          <w:ilvl w:val="0"/>
          <w:numId w:val="10"/>
        </w:numPr>
      </w:pPr>
      <w:r>
        <w:rPr>
          <w:color w:val="000000"/>
        </w:rPr>
        <w:t>wykonanie projektu wykonawczego modernizacji</w:t>
      </w:r>
    </w:p>
    <w:p w:rsidR="00DE0BBC" w:rsidRDefault="00EF1C25">
      <w:pPr>
        <w:pStyle w:val="Textbody"/>
        <w:numPr>
          <w:ilvl w:val="0"/>
          <w:numId w:val="1"/>
        </w:numPr>
      </w:pPr>
      <w:r>
        <w:rPr>
          <w:color w:val="000000"/>
        </w:rPr>
        <w:t>demontaż istniejącego wyposażenia m.in.: transformatorów, wyposażenia celek SN</w:t>
      </w:r>
    </w:p>
    <w:p w:rsidR="00DE0BBC" w:rsidRDefault="00EF1C25">
      <w:pPr>
        <w:pStyle w:val="Textbody"/>
        <w:numPr>
          <w:ilvl w:val="0"/>
          <w:numId w:val="1"/>
        </w:numPr>
      </w:pPr>
      <w:r>
        <w:rPr>
          <w:color w:val="000000"/>
        </w:rPr>
        <w:t>dostawę transformatorów 1250kVA</w:t>
      </w:r>
    </w:p>
    <w:p w:rsidR="00DE0BBC" w:rsidRDefault="00EF1C25">
      <w:pPr>
        <w:pStyle w:val="Textbody"/>
        <w:numPr>
          <w:ilvl w:val="0"/>
          <w:numId w:val="1"/>
        </w:numPr>
      </w:pPr>
      <w:r>
        <w:rPr>
          <w:color w:val="000000"/>
        </w:rPr>
        <w:t>dostawę i montaż odłączników szynowych</w:t>
      </w:r>
    </w:p>
    <w:p w:rsidR="00DE0BBC" w:rsidRDefault="00EF1C25">
      <w:pPr>
        <w:pStyle w:val="Textbody"/>
        <w:numPr>
          <w:ilvl w:val="0"/>
          <w:numId w:val="1"/>
        </w:numPr>
      </w:pPr>
      <w:r>
        <w:rPr>
          <w:color w:val="000000"/>
        </w:rPr>
        <w:t>dostawę i montaż zabezpieczeń</w:t>
      </w:r>
    </w:p>
    <w:p w:rsidR="00DE0BBC" w:rsidRDefault="00EF1C25">
      <w:pPr>
        <w:pStyle w:val="Textbody"/>
        <w:numPr>
          <w:ilvl w:val="0"/>
          <w:numId w:val="1"/>
        </w:numPr>
      </w:pPr>
      <w:r>
        <w:rPr>
          <w:color w:val="000000"/>
        </w:rPr>
        <w:t>dostawę elementów obwodów pie</w:t>
      </w:r>
      <w:r>
        <w:rPr>
          <w:color w:val="000000"/>
        </w:rPr>
        <w:t>rwotnych i wtórnych zgodnie z projektem wykonawczym</w:t>
      </w:r>
    </w:p>
    <w:p w:rsidR="00DE0BBC" w:rsidRDefault="00EF1C25">
      <w:pPr>
        <w:pStyle w:val="Textbod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prace kontrolno-pomiarowe</w:t>
      </w:r>
    </w:p>
    <w:p w:rsidR="00DE0BBC" w:rsidRDefault="00EF1C25">
      <w:pPr>
        <w:pStyle w:val="Textbod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wykonanie projektu powykonawczego</w:t>
      </w:r>
    </w:p>
    <w:p w:rsidR="00DE0BBC" w:rsidRDefault="00EF1C25">
      <w:pPr>
        <w:pStyle w:val="Textbod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wykonanie pomiarów</w:t>
      </w:r>
    </w:p>
    <w:p w:rsidR="00DE0BBC" w:rsidRDefault="00EF1C25">
      <w:pPr>
        <w:pStyle w:val="Textbody"/>
        <w:numPr>
          <w:ilvl w:val="0"/>
          <w:numId w:val="1"/>
        </w:numPr>
      </w:pPr>
      <w:r>
        <w:rPr>
          <w:color w:val="000000"/>
        </w:rPr>
        <w:t xml:space="preserve"> wykonanie prób, badań i testów</w:t>
      </w:r>
    </w:p>
    <w:p w:rsidR="00DE0BBC" w:rsidRDefault="00EF1C25">
      <w:pPr>
        <w:pStyle w:val="Textbod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wystawienie niezbędnych protokołów</w:t>
      </w:r>
    </w:p>
    <w:p w:rsidR="00DE0BBC" w:rsidRDefault="00EF1C25">
      <w:pPr>
        <w:pStyle w:val="Textbod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uruchomienie układu</w:t>
      </w:r>
    </w:p>
    <w:p w:rsidR="00DE0BBC" w:rsidRDefault="00EF1C25">
      <w:pPr>
        <w:pStyle w:val="Textbod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przekazanie do eksploatacji</w:t>
      </w:r>
    </w:p>
    <w:p w:rsidR="00DE0BBC" w:rsidRDefault="00EF1C25">
      <w:pPr>
        <w:pStyle w:val="Textbody"/>
        <w:numPr>
          <w:ilvl w:val="0"/>
          <w:numId w:val="1"/>
        </w:numPr>
      </w:pPr>
      <w:r>
        <w:rPr>
          <w:color w:val="000000"/>
        </w:rPr>
        <w:t>Zmodern</w:t>
      </w:r>
      <w:r>
        <w:rPr>
          <w:color w:val="000000"/>
        </w:rPr>
        <w:t>izować rozdzielnice NN i dostosować aparaturę do zwiększonej mocy nowych transformatorów</w:t>
      </w:r>
    </w:p>
    <w:p w:rsidR="00DE0BBC" w:rsidRDefault="00DE0BBC">
      <w:pPr>
        <w:pStyle w:val="Textbody"/>
        <w:rPr>
          <w:color w:val="000000"/>
        </w:rPr>
      </w:pPr>
    </w:p>
    <w:p w:rsidR="00DE0BBC" w:rsidRPr="006E2F0D" w:rsidRDefault="005B57AC" w:rsidP="006E2F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6E2F0D">
        <w:rPr>
          <w:b/>
          <w:bCs/>
        </w:rPr>
        <w:t>UWAGA!!!</w:t>
      </w:r>
    </w:p>
    <w:p w:rsidR="00DE0BBC" w:rsidRPr="006E2F0D" w:rsidRDefault="005B57AC" w:rsidP="006E2F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6E2F0D">
        <w:rPr>
          <w:b/>
          <w:bCs/>
        </w:rPr>
        <w:t>Zamawiający zastrzega, że</w:t>
      </w:r>
      <w:r w:rsidR="006E2F0D" w:rsidRPr="006E2F0D">
        <w:rPr>
          <w:b/>
          <w:bCs/>
        </w:rPr>
        <w:t xml:space="preserve"> Wykonawca będzie w pełni odpowiedzialny</w:t>
      </w:r>
      <w:r w:rsidRPr="006E2F0D">
        <w:rPr>
          <w:b/>
          <w:bCs/>
        </w:rPr>
        <w:t xml:space="preserve"> za koordynację </w:t>
      </w:r>
      <w:r w:rsidR="006E2F0D">
        <w:rPr>
          <w:b/>
          <w:bCs/>
        </w:rPr>
        <w:br/>
      </w:r>
      <w:r w:rsidRPr="006E2F0D">
        <w:rPr>
          <w:b/>
          <w:bCs/>
        </w:rPr>
        <w:t xml:space="preserve">i </w:t>
      </w:r>
      <w:r w:rsidR="006E2F0D" w:rsidRPr="006E2F0D">
        <w:rPr>
          <w:b/>
          <w:bCs/>
        </w:rPr>
        <w:t>realizację</w:t>
      </w:r>
      <w:r w:rsidRPr="006E2F0D">
        <w:rPr>
          <w:b/>
          <w:bCs/>
        </w:rPr>
        <w:t xml:space="preserve"> prac </w:t>
      </w:r>
      <w:r w:rsidR="006E2F0D">
        <w:rPr>
          <w:b/>
          <w:bCs/>
        </w:rPr>
        <w:t xml:space="preserve">określonych powyższym zakresem, </w:t>
      </w:r>
      <w:r w:rsidRPr="006E2F0D">
        <w:rPr>
          <w:b/>
          <w:bCs/>
        </w:rPr>
        <w:t>wymagających uzgodnień z dostawcą energii elektrycznej, którym dla Zamawiającego jest firma TAURON</w:t>
      </w:r>
      <w:r w:rsidR="006E2F0D" w:rsidRPr="006E2F0D">
        <w:rPr>
          <w:b/>
          <w:bCs/>
        </w:rPr>
        <w:t>.</w:t>
      </w:r>
    </w:p>
    <w:p w:rsidR="00DE0BBC" w:rsidRDefault="00DE0BBC">
      <w:pPr>
        <w:pStyle w:val="Standard"/>
      </w:pPr>
    </w:p>
    <w:p w:rsidR="00DE0BBC" w:rsidRDefault="00DE0BBC">
      <w:pPr>
        <w:pStyle w:val="Standard"/>
      </w:pPr>
    </w:p>
    <w:p w:rsidR="00DE0BBC" w:rsidRDefault="00DE0BBC">
      <w:pPr>
        <w:pStyle w:val="Standard"/>
      </w:pPr>
    </w:p>
    <w:p w:rsidR="00DE0BBC" w:rsidRDefault="00DE0BBC">
      <w:pPr>
        <w:pStyle w:val="Standard"/>
      </w:pPr>
    </w:p>
    <w:p w:rsidR="00DE0BBC" w:rsidRDefault="00DE0BBC">
      <w:pPr>
        <w:pStyle w:val="Standard"/>
      </w:pPr>
    </w:p>
    <w:p w:rsidR="00DE0BBC" w:rsidRDefault="00DE0BBC">
      <w:pPr>
        <w:pStyle w:val="Standard"/>
      </w:pPr>
    </w:p>
    <w:p w:rsidR="00DE0BBC" w:rsidRDefault="00DE0BBC">
      <w:pPr>
        <w:pStyle w:val="Standard"/>
      </w:pPr>
    </w:p>
    <w:p w:rsidR="00DE0BBC" w:rsidRDefault="00DE0BBC">
      <w:pPr>
        <w:pStyle w:val="Standard"/>
      </w:pPr>
    </w:p>
    <w:p w:rsidR="00DE0BBC" w:rsidRDefault="00DE0BBC">
      <w:pPr>
        <w:pStyle w:val="Standard"/>
      </w:pPr>
    </w:p>
    <w:p w:rsidR="00DE0BBC" w:rsidRDefault="00DE0BBC">
      <w:pPr>
        <w:pStyle w:val="Standard"/>
      </w:pPr>
    </w:p>
    <w:p w:rsidR="00DE0BBC" w:rsidRDefault="00DE0BBC">
      <w:pPr>
        <w:pStyle w:val="Standard"/>
      </w:pPr>
    </w:p>
    <w:p w:rsidR="00DE0BBC" w:rsidRDefault="00EF1C25">
      <w:pPr>
        <w:pStyle w:val="Nagwek1"/>
        <w:pageBreakBefore w:val="0"/>
        <w:rPr>
          <w:rFonts w:cs="Arial" w:hint="eastAsia"/>
          <w:u w:val="none"/>
        </w:rPr>
      </w:pPr>
      <w:bookmarkStart w:id="1" w:name="__RefHeading___Toc11043082"/>
      <w:r>
        <w:rPr>
          <w:rFonts w:ascii="Arial" w:hAnsi="Arial" w:cs="Arial"/>
          <w:u w:val="none"/>
          <w:lang w:eastAsia="pl-PL"/>
        </w:rPr>
        <w:lastRenderedPageBreak/>
        <w:t>Wymagania d</w:t>
      </w:r>
      <w:bookmarkStart w:id="2" w:name="_GoBack"/>
      <w:bookmarkEnd w:id="2"/>
      <w:r>
        <w:rPr>
          <w:rFonts w:ascii="Arial" w:hAnsi="Arial" w:cs="Arial"/>
          <w:u w:val="none"/>
          <w:lang w:eastAsia="pl-PL"/>
        </w:rPr>
        <w:t>otyczące transformatorów</w:t>
      </w:r>
      <w:bookmarkEnd w:id="1"/>
    </w:p>
    <w:p w:rsidR="00DE0BBC" w:rsidRDefault="00EF1C25">
      <w:pPr>
        <w:pStyle w:val="Textbody"/>
      </w:pPr>
      <w:r>
        <w:rPr>
          <w:color w:val="000000"/>
        </w:rPr>
        <w:t>Przewiduję się zastosowanie transformatorów w technologii próżniowej o mocy 1250kVA,</w:t>
      </w:r>
    </w:p>
    <w:p w:rsidR="00DE0BBC" w:rsidRDefault="00EF1C25">
      <w:pPr>
        <w:pStyle w:val="Textbody"/>
      </w:pPr>
      <w:r>
        <w:rPr>
          <w:color w:val="000000"/>
        </w:rPr>
        <w:t xml:space="preserve">Podstawowe </w:t>
      </w:r>
      <w:r>
        <w:rPr>
          <w:color w:val="000000"/>
        </w:rPr>
        <w:t>parametry i cechy dotyczące  transformatorów:</w:t>
      </w:r>
    </w:p>
    <w:p w:rsidR="00DE0BBC" w:rsidRDefault="00DE0BBC">
      <w:pPr>
        <w:pStyle w:val="Standard"/>
        <w:jc w:val="both"/>
      </w:pPr>
    </w:p>
    <w:p w:rsidR="00DE0BBC" w:rsidRDefault="00EF1C25">
      <w:pPr>
        <w:pStyle w:val="Standard"/>
        <w:jc w:val="both"/>
      </w:pPr>
      <w:r>
        <w:t>Trójfazowe transformatory olejowe, 50Hz o następujących parametrach technicznych:</w:t>
      </w:r>
    </w:p>
    <w:p w:rsidR="00DE0BBC" w:rsidRDefault="00EF1C25">
      <w:pPr>
        <w:pStyle w:val="Standard"/>
        <w:jc w:val="both"/>
      </w:pPr>
      <w:r>
        <w:t>• Hermetyczne</w:t>
      </w:r>
    </w:p>
    <w:p w:rsidR="00DE0BBC" w:rsidRDefault="00EF1C25">
      <w:pPr>
        <w:pStyle w:val="Standard"/>
        <w:jc w:val="both"/>
      </w:pPr>
      <w:r>
        <w:t>• Chłodzenie ONAN</w:t>
      </w:r>
    </w:p>
    <w:p w:rsidR="00DE0BBC" w:rsidRDefault="00EF1C25">
      <w:pPr>
        <w:pStyle w:val="Standard"/>
        <w:jc w:val="both"/>
      </w:pPr>
      <w:r>
        <w:t>• Zastosowanie wnętrzowe i zewnętrzne</w:t>
      </w:r>
    </w:p>
    <w:p w:rsidR="00DE0BBC" w:rsidRDefault="00EF1C25">
      <w:pPr>
        <w:pStyle w:val="Standard"/>
        <w:jc w:val="both"/>
      </w:pPr>
      <w:r>
        <w:t>• Powłoka ochronna - kategoria antykorozyjności C3</w:t>
      </w:r>
    </w:p>
    <w:p w:rsidR="00DE0BBC" w:rsidRDefault="00EF1C25">
      <w:pPr>
        <w:pStyle w:val="Standard"/>
        <w:jc w:val="both"/>
      </w:pPr>
      <w:r>
        <w:t xml:space="preserve">• </w:t>
      </w:r>
      <w:r>
        <w:t>typoszereg mocy 25kVA-3150kVA</w:t>
      </w:r>
    </w:p>
    <w:p w:rsidR="00DE0BBC" w:rsidRDefault="00EF1C25">
      <w:pPr>
        <w:pStyle w:val="Standard"/>
        <w:jc w:val="both"/>
      </w:pPr>
      <w:r>
        <w:t>• Kadź malowana (RAL 7033)</w:t>
      </w:r>
    </w:p>
    <w:p w:rsidR="00DE0BBC" w:rsidRDefault="00EF1C25">
      <w:pPr>
        <w:pStyle w:val="Standard"/>
        <w:jc w:val="both"/>
      </w:pPr>
      <w:r>
        <w:t>• Stopień ochrony IP00</w:t>
      </w:r>
    </w:p>
    <w:p w:rsidR="00DE0BBC" w:rsidRDefault="00EF1C25">
      <w:pPr>
        <w:pStyle w:val="Standard"/>
        <w:jc w:val="both"/>
      </w:pPr>
      <w:r>
        <w:t>• EN 50464-1</w:t>
      </w:r>
    </w:p>
    <w:p w:rsidR="00DE0BBC" w:rsidRDefault="00EF1C25">
      <w:pPr>
        <w:pStyle w:val="Standard"/>
        <w:jc w:val="both"/>
      </w:pPr>
      <w:r>
        <w:t>• EN 60076-1 do 10</w:t>
      </w:r>
    </w:p>
    <w:p w:rsidR="00DE0BBC" w:rsidRDefault="00EF1C25">
      <w:pPr>
        <w:pStyle w:val="Standard"/>
        <w:jc w:val="both"/>
      </w:pPr>
      <w:r>
        <w:t>• Rozporządzenie Komisji UE nr 548/2014</w:t>
      </w:r>
    </w:p>
    <w:p w:rsidR="00DE0BBC" w:rsidRDefault="00EF1C25">
      <w:pPr>
        <w:pStyle w:val="Standard"/>
        <w:jc w:val="both"/>
      </w:pPr>
      <w:r>
        <w:t>• Nieinhibitowany</w:t>
      </w:r>
    </w:p>
    <w:p w:rsidR="00DE0BBC" w:rsidRDefault="00EF1C25">
      <w:pPr>
        <w:pStyle w:val="Standard"/>
        <w:jc w:val="both"/>
      </w:pPr>
      <w:r>
        <w:t xml:space="preserve">• Testowany zgodnie z normą IEC 60296  </w:t>
      </w:r>
    </w:p>
    <w:p w:rsidR="00DE0BBC" w:rsidRDefault="00EF1C25">
      <w:pPr>
        <w:pStyle w:val="Standard"/>
        <w:jc w:val="both"/>
      </w:pPr>
      <w:r>
        <w:t>• Certyfikat przydatności wyrobu do zasto</w:t>
      </w:r>
      <w:r>
        <w:t xml:space="preserve">sowania w energetyce  </w:t>
      </w:r>
    </w:p>
    <w:p w:rsidR="00DE0BBC" w:rsidRDefault="00EF1C25">
      <w:pPr>
        <w:pStyle w:val="Standard"/>
        <w:jc w:val="both"/>
      </w:pPr>
      <w:r>
        <w:t>• Zabezpieczanie transformatora, którego zadaniem będzie ochrona transformatora przy zaistnieniu następujących sytuacji:</w:t>
      </w:r>
    </w:p>
    <w:p w:rsidR="00DE0BBC" w:rsidRDefault="00EF1C25">
      <w:pPr>
        <w:pStyle w:val="Standard"/>
        <w:jc w:val="both"/>
      </w:pPr>
      <w:r>
        <w:t>zwarcie wewnątrz kadzi,</w:t>
      </w:r>
    </w:p>
    <w:p w:rsidR="00DE0BBC" w:rsidRDefault="00EF1C25">
      <w:pPr>
        <w:pStyle w:val="Standard"/>
        <w:numPr>
          <w:ilvl w:val="0"/>
          <w:numId w:val="11"/>
        </w:numPr>
        <w:jc w:val="both"/>
      </w:pPr>
      <w:r>
        <w:t xml:space="preserve">wydzielanie się gazów powstałych na skutek rozkładu </w:t>
      </w:r>
      <w:r>
        <w:t>termicznego izolacji stałej,</w:t>
      </w:r>
    </w:p>
    <w:p w:rsidR="00DE0BBC" w:rsidRDefault="00EF1C25">
      <w:pPr>
        <w:pStyle w:val="Standard"/>
        <w:numPr>
          <w:ilvl w:val="0"/>
          <w:numId w:val="7"/>
        </w:numPr>
        <w:jc w:val="both"/>
      </w:pPr>
      <w:r>
        <w:t>obniżenie się poziomu oleju na skutek wycieku z kadzi.</w:t>
      </w:r>
    </w:p>
    <w:p w:rsidR="00DE0BBC" w:rsidRDefault="00EF1C25">
      <w:pPr>
        <w:pStyle w:val="Standard"/>
        <w:jc w:val="both"/>
      </w:pPr>
      <w:r>
        <w:t>Gwarancja i zaświadczenie producenta, że transformatory produkowane są z komponentów, które nie zawierają PCB.</w:t>
      </w:r>
    </w:p>
    <w:p w:rsidR="00DE0BBC" w:rsidRDefault="00DE0BBC">
      <w:pPr>
        <w:pStyle w:val="Standard"/>
      </w:pPr>
    </w:p>
    <w:p w:rsidR="00DE0BBC" w:rsidRDefault="00EF1C25">
      <w:pPr>
        <w:pStyle w:val="Nagwek1"/>
        <w:pageBreakBefore w:val="0"/>
        <w:rPr>
          <w:rFonts w:hint="eastAsia"/>
          <w:u w:val="none"/>
        </w:rPr>
      </w:pPr>
      <w:bookmarkStart w:id="3" w:name="__RefHeading___Toc11043083"/>
      <w:r>
        <w:rPr>
          <w:rFonts w:ascii="Arial" w:hAnsi="Arial" w:cs="Arial"/>
          <w:u w:val="none"/>
          <w:lang w:eastAsia="pl-PL"/>
        </w:rPr>
        <w:t>Wymagania dotyczące rozdzielnicy NN</w:t>
      </w:r>
      <w:bookmarkEnd w:id="3"/>
    </w:p>
    <w:p w:rsidR="00DE0BBC" w:rsidRDefault="00EF1C25">
      <w:pPr>
        <w:pStyle w:val="Textbody"/>
      </w:pPr>
      <w:r>
        <w:rPr>
          <w:color w:val="000000"/>
        </w:rPr>
        <w:t>Ze względu na zwiększone</w:t>
      </w:r>
      <w:r>
        <w:rPr>
          <w:color w:val="000000"/>
        </w:rPr>
        <w:t xml:space="preserve"> zapotrzebowanie na moc, którego następstwem będzie wymiana dwóch transformatorów 630kVA na 1250kVA, niezbędne będzie dostosowanie istniejącej rozdzielnicy NN do mocy docelowych transformatorów.</w:t>
      </w:r>
    </w:p>
    <w:p w:rsidR="00DE0BBC" w:rsidRDefault="00EF1C25">
      <w:pPr>
        <w:pStyle w:val="Textbody"/>
      </w:pPr>
      <w:r>
        <w:rPr>
          <w:color w:val="000000"/>
        </w:rPr>
        <w:t xml:space="preserve">Jeśli to wymagane dostosować </w:t>
      </w:r>
      <w:proofErr w:type="spellStart"/>
      <w:r>
        <w:rPr>
          <w:color w:val="000000"/>
        </w:rPr>
        <w:t>oszynowanie</w:t>
      </w:r>
      <w:proofErr w:type="spellEnd"/>
      <w:r>
        <w:rPr>
          <w:color w:val="000000"/>
        </w:rPr>
        <w:t xml:space="preserve"> od wtórnej strony t</w:t>
      </w:r>
      <w:r>
        <w:rPr>
          <w:color w:val="000000"/>
        </w:rPr>
        <w:t>ransformatora do pola zasilającego w sekcji I oraz II.</w:t>
      </w:r>
    </w:p>
    <w:p w:rsidR="00DE0BBC" w:rsidRDefault="00EF1C25">
      <w:pPr>
        <w:pStyle w:val="Textbody"/>
      </w:pPr>
      <w:r>
        <w:rPr>
          <w:color w:val="000000"/>
        </w:rPr>
        <w:t>Wyłączników zasilających o parametrach:</w:t>
      </w:r>
    </w:p>
    <w:p w:rsidR="00DE0BBC" w:rsidRDefault="00EF1C25">
      <w:pPr>
        <w:pStyle w:val="Textbody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Grupa modelowa wyłącznika 800A-4000A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Czas wyłączania powinien być mniejszy lub równy 70 ms dla wyłączników 4000A Czas pomiędzy zamknięciem, a wygaśnięciem łuku p</w:t>
      </w:r>
      <w:r>
        <w:rPr>
          <w:color w:val="000000"/>
        </w:rPr>
        <w:t>owinien być mniejszy lub równy 25 ms.</w:t>
      </w:r>
    </w:p>
    <w:p w:rsidR="00DE0BBC" w:rsidRDefault="00EF1C25">
      <w:pPr>
        <w:pStyle w:val="Textbody"/>
        <w:numPr>
          <w:ilvl w:val="0"/>
          <w:numId w:val="8"/>
        </w:numPr>
      </w:pPr>
      <w:r>
        <w:rPr>
          <w:color w:val="000000"/>
        </w:rPr>
        <w:t>Wymiana  istniejącego wyłącznika i dopasowanie  do zabudowanych przyłączy oraz toru prądowego, w wykonaniu stacjonarnym, który ze względu na krótkie czasy możliwych włączeń umożliwi wymianę aparatów poniżej 1 godziny l</w:t>
      </w:r>
      <w:r>
        <w:rPr>
          <w:color w:val="000000"/>
        </w:rPr>
        <w:t>ub równoważny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Zabezpieczenie </w:t>
      </w:r>
      <w:proofErr w:type="spellStart"/>
      <w:r>
        <w:rPr>
          <w:color w:val="000000"/>
        </w:rPr>
        <w:t>Micrologic</w:t>
      </w:r>
      <w:proofErr w:type="spellEnd"/>
      <w:r>
        <w:rPr>
          <w:color w:val="000000"/>
        </w:rPr>
        <w:t xml:space="preserve"> 5.0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Styki pomocnicze OFx4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Styk wyzwolenia SDE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Napęd silnikowy – 230VAC</w:t>
      </w:r>
    </w:p>
    <w:p w:rsidR="00DE0BBC" w:rsidRDefault="00EF1C25">
      <w:pPr>
        <w:pStyle w:val="Textbody"/>
        <w:numPr>
          <w:ilvl w:val="0"/>
          <w:numId w:val="8"/>
        </w:numPr>
      </w:pPr>
      <w:r>
        <w:rPr>
          <w:color w:val="000000"/>
        </w:rPr>
        <w:t>Wyzwalacz otwierający MX – 230VAC</w:t>
      </w:r>
    </w:p>
    <w:p w:rsidR="00DE0BBC" w:rsidRDefault="00EF1C25">
      <w:pPr>
        <w:pStyle w:val="Textbody"/>
        <w:numPr>
          <w:ilvl w:val="0"/>
          <w:numId w:val="8"/>
        </w:numPr>
      </w:pPr>
      <w:r>
        <w:rPr>
          <w:color w:val="000000"/>
        </w:rPr>
        <w:lastRenderedPageBreak/>
        <w:t>Wyzwalacz otwierający MX2 – 230VAC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Zgodność z normami</w:t>
      </w:r>
    </w:p>
    <w:tbl>
      <w:tblPr>
        <w:tblW w:w="993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8"/>
        <w:gridCol w:w="7066"/>
      </w:tblGrid>
      <w:tr w:rsidR="00DE0B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Referencja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EN /IEC 60947-1 &amp;  2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Aparatura rozdzielcza i sterownicza niskonapięciowa</w:t>
            </w:r>
          </w:p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Part 2: Wyłączniki</w:t>
            </w:r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 xml:space="preserve">IEC 60947-2, </w:t>
            </w:r>
            <w:proofErr w:type="spellStart"/>
            <w:r>
              <w:rPr>
                <w:color w:val="000000"/>
              </w:rPr>
              <w:t>annex</w:t>
            </w:r>
            <w:proofErr w:type="spellEnd"/>
            <w:r>
              <w:rPr>
                <w:color w:val="000000"/>
              </w:rPr>
              <w:t xml:space="preserve"> B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Wyłączniki z zabezpieczeniem różnicowoprądowym</w:t>
            </w:r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 xml:space="preserve">IEC 60947-2, </w:t>
            </w:r>
            <w:proofErr w:type="spellStart"/>
            <w:r>
              <w:rPr>
                <w:color w:val="000000"/>
              </w:rPr>
              <w:t>annex</w:t>
            </w:r>
            <w:proofErr w:type="spellEnd"/>
            <w:r>
              <w:rPr>
                <w:color w:val="000000"/>
              </w:rPr>
              <w:t xml:space="preserve"> F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Dodatkowe badania wyłączników z wyzwalaczem przeciążeniowym</w:t>
            </w:r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IEC 60664-1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Koordynacja izolacji urządzeń elektrycznych w układach niskiego napięcia -- Część 1: Zasady, wymagania i badania</w:t>
            </w:r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IEC 61000-4-1</w:t>
            </w:r>
            <w:r>
              <w:rPr>
                <w:color w:val="000000"/>
              </w:rPr>
              <w:tab/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Kompatybilność elektromagnetyczna (EMC)</w:t>
            </w:r>
          </w:p>
          <w:p w:rsidR="00DE0BBC" w:rsidRDefault="00DE0BBC">
            <w:pPr>
              <w:pStyle w:val="Textbody"/>
              <w:rPr>
                <w:color w:val="000000"/>
              </w:rPr>
            </w:pPr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IEC 61557-12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 xml:space="preserve">Bezpieczeństwo elektryczne w niskonapięciowych sieciach </w:t>
            </w:r>
            <w:r>
              <w:rPr>
                <w:color w:val="000000"/>
              </w:rPr>
              <w:t>elektroenergetycznych o napięciach przemiennych do 1 000V i stałych do 1 500V</w:t>
            </w:r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IEC 60068-2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Badania środowiskowe -- Część 2-1: Próby -- Próba A: Zimno</w:t>
            </w:r>
          </w:p>
        </w:tc>
      </w:tr>
    </w:tbl>
    <w:p w:rsidR="00DE0BBC" w:rsidRDefault="00EF1C25">
      <w:pPr>
        <w:pStyle w:val="Textbody"/>
        <w:ind w:left="720"/>
        <w:rPr>
          <w:color w:val="000000"/>
        </w:rPr>
      </w:pPr>
      <w:r>
        <w:rPr>
          <w:color w:val="000000"/>
        </w:rPr>
        <w:t xml:space="preserve">Spełniają normy </w:t>
      </w:r>
      <w:proofErr w:type="spellStart"/>
      <w:r>
        <w:rPr>
          <w:color w:val="000000"/>
        </w:rPr>
        <w:t>międzynarowe</w:t>
      </w:r>
      <w:proofErr w:type="spellEnd"/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IEC 60947-2 ( PN EN 60947-2) - wyłączniki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PN EN 60947-3 </w:t>
      </w:r>
      <w:r>
        <w:rPr>
          <w:color w:val="000000"/>
        </w:rPr>
        <w:t>rozłączniki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UL 489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ANSI C 37-50</w:t>
      </w:r>
    </w:p>
    <w:p w:rsidR="00DE0BBC" w:rsidRDefault="00EF1C25">
      <w:pPr>
        <w:pStyle w:val="Textbody"/>
        <w:ind w:left="720"/>
        <w:rPr>
          <w:color w:val="000000"/>
        </w:rPr>
      </w:pPr>
      <w:r>
        <w:rPr>
          <w:color w:val="000000"/>
        </w:rPr>
        <w:t>Posiadają certyfikaty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ASEFA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ASTA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proofErr w:type="spellStart"/>
      <w:r>
        <w:rPr>
          <w:color w:val="000000"/>
        </w:rPr>
        <w:t>Lloyd’s</w:t>
      </w:r>
      <w:proofErr w:type="spellEnd"/>
      <w:r>
        <w:rPr>
          <w:color w:val="000000"/>
        </w:rPr>
        <w:t xml:space="preserve"> register</w:t>
      </w:r>
    </w:p>
    <w:p w:rsidR="005B57AC" w:rsidRDefault="005B57AC">
      <w:pPr>
        <w:pStyle w:val="Textbody"/>
        <w:rPr>
          <w:color w:val="000000"/>
        </w:rPr>
      </w:pPr>
    </w:p>
    <w:p w:rsidR="00DE0BBC" w:rsidRDefault="00EF1C25">
      <w:pPr>
        <w:pStyle w:val="Textbody"/>
        <w:rPr>
          <w:color w:val="000000"/>
        </w:rPr>
      </w:pPr>
      <w:r>
        <w:rPr>
          <w:color w:val="000000"/>
        </w:rPr>
        <w:t>W zakresie bezpieczeństwa minimalne wymagania to: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Styki główne wyłącznika powinny być w obudowie zapewniającej drugi stopień izolacji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Wyłącznik wyposażony w </w:t>
      </w:r>
      <w:r>
        <w:rPr>
          <w:color w:val="000000"/>
        </w:rPr>
        <w:t>komory gaszeniowe z metalowymi filtrami redukującymi propagacje łuku w czasie zwarcia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Wyłącznik wyposażony w zabezpieczenie uniemożliwiające załączenie przy wyjętej jednostce sterującej.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Mechaniczne wskaźniki na wyłączniku powinny mieć możliwość wskazywani</w:t>
      </w:r>
      <w:r>
        <w:rPr>
          <w:color w:val="000000"/>
        </w:rPr>
        <w:t>a następujących stanów:</w:t>
      </w:r>
    </w:p>
    <w:tbl>
      <w:tblPr>
        <w:tblW w:w="8724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038"/>
      </w:tblGrid>
      <w:tr w:rsidR="00DE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 xml:space="preserve">1. “ON” (Styki gł. </w:t>
            </w:r>
            <w:proofErr w:type="spellStart"/>
            <w:r>
              <w:rPr>
                <w:color w:val="000000"/>
              </w:rPr>
              <w:t>zamkniete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 xml:space="preserve">Sprężyna </w:t>
            </w:r>
            <w:proofErr w:type="spellStart"/>
            <w:r>
              <w:rPr>
                <w:color w:val="000000"/>
              </w:rPr>
              <w:t>zazbrojona</w:t>
            </w:r>
            <w:proofErr w:type="spellEnd"/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 xml:space="preserve">2. “ON” (Styki gł. </w:t>
            </w:r>
            <w:proofErr w:type="spellStart"/>
            <w:r>
              <w:rPr>
                <w:color w:val="000000"/>
              </w:rPr>
              <w:t>zamkniete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Spręzżyna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niezazbrojona</w:t>
            </w:r>
            <w:proofErr w:type="spellEnd"/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 xml:space="preserve">3. “OFF” (Styki </w:t>
            </w:r>
            <w:proofErr w:type="spellStart"/>
            <w:r>
              <w:rPr>
                <w:color w:val="000000"/>
              </w:rPr>
              <w:t>gł</w:t>
            </w:r>
            <w:proofErr w:type="spellEnd"/>
            <w:r>
              <w:rPr>
                <w:color w:val="000000"/>
              </w:rPr>
              <w:t xml:space="preserve"> otwarte)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zazbrojona</w:t>
            </w:r>
            <w:proofErr w:type="spellEnd"/>
            <w:r>
              <w:rPr>
                <w:color w:val="000000"/>
              </w:rPr>
              <w:t xml:space="preserve"> – gotowy do zamknięcia</w:t>
            </w:r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“OFF” (Styki </w:t>
            </w:r>
            <w:proofErr w:type="spellStart"/>
            <w:r>
              <w:rPr>
                <w:color w:val="000000"/>
              </w:rPr>
              <w:t>gł</w:t>
            </w:r>
            <w:proofErr w:type="spellEnd"/>
            <w:r>
              <w:rPr>
                <w:color w:val="000000"/>
              </w:rPr>
              <w:t xml:space="preserve"> otwarte)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zazbrojona</w:t>
            </w:r>
            <w:proofErr w:type="spellEnd"/>
            <w:r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niegotowy do zamknięcia</w:t>
            </w:r>
          </w:p>
        </w:tc>
      </w:tr>
      <w:tr w:rsidR="00DE0B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 xml:space="preserve">5. “OFF” (Styki </w:t>
            </w:r>
            <w:proofErr w:type="spellStart"/>
            <w:r>
              <w:rPr>
                <w:color w:val="000000"/>
              </w:rPr>
              <w:t>gł</w:t>
            </w:r>
            <w:proofErr w:type="spellEnd"/>
            <w:r>
              <w:rPr>
                <w:color w:val="000000"/>
              </w:rPr>
              <w:t xml:space="preserve"> otwarte)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BBC" w:rsidRDefault="00EF1C2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 xml:space="preserve">Sprężyna </w:t>
            </w:r>
            <w:proofErr w:type="spellStart"/>
            <w:r>
              <w:rPr>
                <w:color w:val="000000"/>
              </w:rPr>
              <w:t>niezazbrojona</w:t>
            </w:r>
            <w:proofErr w:type="spellEnd"/>
          </w:p>
        </w:tc>
      </w:tr>
    </w:tbl>
    <w:p w:rsidR="00DE0BBC" w:rsidRDefault="00DE0BBC">
      <w:pPr>
        <w:pStyle w:val="Textbody"/>
        <w:rPr>
          <w:color w:val="000000"/>
        </w:rPr>
      </w:pP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Wysunięcie wyłącznika powinno być możliwe przez zamknięte drzwi rozdzielnicy.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Zdolność łączeniowa, wytrzymałość mechaniczna i elektryczna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Wyłącznik certyfikowany zgodnie z to </w:t>
      </w:r>
      <w:r>
        <w:rPr>
          <w:color w:val="000000"/>
        </w:rPr>
        <w:t>IEC 60 947-2.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Mechaniczna wytrzymałość min 12500 operacji, elektryczna 6000 operacji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Akcesoria Elektryczne – Styki, cewki napęd silnikowy</w:t>
      </w:r>
    </w:p>
    <w:p w:rsidR="00DE0BBC" w:rsidRDefault="00EF1C25">
      <w:pPr>
        <w:pStyle w:val="Textbody"/>
        <w:numPr>
          <w:ilvl w:val="0"/>
          <w:numId w:val="8"/>
        </w:numPr>
      </w:pPr>
      <w:r>
        <w:rPr>
          <w:bCs/>
        </w:rPr>
        <w:t>Opatentowany filtr metalowy</w:t>
      </w:r>
    </w:p>
    <w:p w:rsidR="00DE0BBC" w:rsidRDefault="00EF1C25">
      <w:pPr>
        <w:pStyle w:val="Textbody"/>
        <w:numPr>
          <w:ilvl w:val="1"/>
          <w:numId w:val="8"/>
        </w:numPr>
      </w:pPr>
      <w:r>
        <w:t>Porowate powierzchnie</w:t>
      </w:r>
    </w:p>
    <w:p w:rsidR="00DE0BBC" w:rsidRDefault="00EF1C25">
      <w:pPr>
        <w:pStyle w:val="Textbody"/>
        <w:numPr>
          <w:ilvl w:val="1"/>
          <w:numId w:val="8"/>
        </w:numPr>
      </w:pPr>
      <w:r>
        <w:t xml:space="preserve">Absorpcja energii gazów łukowych jest wynikiem </w:t>
      </w:r>
      <w:r>
        <w:t>dejonizacji gazów zewnętrznych</w:t>
      </w:r>
    </w:p>
    <w:p w:rsidR="00DE0BBC" w:rsidRDefault="00EF1C25">
      <w:pPr>
        <w:pStyle w:val="Textbody"/>
        <w:ind w:left="720"/>
        <w:rPr>
          <w:color w:val="000000"/>
        </w:rPr>
      </w:pPr>
      <w:r>
        <w:rPr>
          <w:color w:val="000000"/>
        </w:rPr>
        <w:t>Pozostałe wymagania ogólne: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Wszystkie akcesoria elektryczne (cewki, napędy styki) powinny mieć możliwość montażu i demontażu na obiekcie bez konieczności stosowania specjalistycznych narzędzi.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Podłączenie akcesoriów elektryc</w:t>
      </w:r>
      <w:r>
        <w:rPr>
          <w:color w:val="000000"/>
        </w:rPr>
        <w:t>znych powinno być możliwe od przodu aparatu, a pozycja TEST powinna rozłączać te akcesoria poprzez moduły stykowe.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Sterowanie zdalne.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Cewki napięciowe opcjonalnie powinny mieć opcje diagnozowania ich stanu (funkcja </w:t>
      </w:r>
      <w:proofErr w:type="spellStart"/>
      <w:r>
        <w:rPr>
          <w:color w:val="000000"/>
        </w:rPr>
        <w:t>Diag</w:t>
      </w:r>
      <w:proofErr w:type="spellEnd"/>
      <w:r>
        <w:rPr>
          <w:color w:val="000000"/>
        </w:rPr>
        <w:t>)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Czas zadziałania wyzwalaczy napięc</w:t>
      </w:r>
      <w:r>
        <w:rPr>
          <w:color w:val="000000"/>
        </w:rPr>
        <w:t xml:space="preserve">iowych </w:t>
      </w:r>
      <w:r>
        <w:rPr>
          <w:color w:val="000000"/>
        </w:rPr>
        <w:tab/>
        <w:t>50ms +/- 10ms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Czas ładowania sprężyny: &lt;=3sek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Ilość cykli &lt;=3 </w:t>
      </w:r>
      <w:proofErr w:type="spellStart"/>
      <w:r>
        <w:rPr>
          <w:color w:val="000000"/>
        </w:rPr>
        <w:t>cycle</w:t>
      </w:r>
      <w:proofErr w:type="spellEnd"/>
      <w:r>
        <w:rPr>
          <w:color w:val="000000"/>
        </w:rPr>
        <w:t xml:space="preserve"> / min.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wyłącznik powinien mieć możliwość pracy w temperaturze -25 °C +70 °C, (temperatura wewnątrz rozdzielnicy nie powinna przekraczać 70*C)</w:t>
      </w:r>
    </w:p>
    <w:p w:rsidR="00DE0BBC" w:rsidRDefault="00EF1C25">
      <w:pPr>
        <w:pStyle w:val="Textbody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Wyłącznik powinien być testowany na p</w:t>
      </w:r>
      <w:r>
        <w:rPr>
          <w:color w:val="000000"/>
        </w:rPr>
        <w:t>racę w warunkach atmosferycznych zgodnie z IEC 600068-2-1 (sucho zimno) przy -40 °C, IEC 600068-2-2 (sucho gorąco) przy +85 °C and IEC 600068-2-30 (wilgotno gorąco) przy +55 °C wilgotność 95%</w:t>
      </w:r>
    </w:p>
    <w:p w:rsidR="00DE0BBC" w:rsidRDefault="00EF1C25">
      <w:pPr>
        <w:pStyle w:val="Textbody"/>
        <w:numPr>
          <w:ilvl w:val="0"/>
          <w:numId w:val="8"/>
        </w:numPr>
        <w:rPr>
          <w:lang w:val="fr-FR"/>
        </w:rPr>
      </w:pPr>
      <w:r>
        <w:rPr>
          <w:lang w:val="fr-FR"/>
        </w:rPr>
        <w:t>t &lt; 3min; sprawny i gotowy do pracy</w:t>
      </w:r>
    </w:p>
    <w:p w:rsidR="00DE0BBC" w:rsidRDefault="00EF1C25">
      <w:pPr>
        <w:pStyle w:val="Textbody"/>
        <w:numPr>
          <w:ilvl w:val="0"/>
          <w:numId w:val="8"/>
        </w:numPr>
      </w:pPr>
      <w:r>
        <w:rPr>
          <w:b/>
          <w:bCs/>
          <w:color w:val="000000"/>
          <w:lang w:val="fr-FR"/>
        </w:rPr>
        <w:t xml:space="preserve">Ics </w:t>
      </w:r>
      <w:r>
        <w:rPr>
          <w:color w:val="000000"/>
          <w:lang w:val="fr-FR"/>
        </w:rPr>
        <w:t xml:space="preserve">= </w:t>
      </w:r>
      <w:r>
        <w:rPr>
          <w:color w:val="000000"/>
          <w:lang w:val="en-US"/>
        </w:rPr>
        <w:t>100</w:t>
      </w:r>
      <w:r>
        <w:rPr>
          <w:color w:val="000000"/>
          <w:lang w:val="fr-FR"/>
        </w:rPr>
        <w:t xml:space="preserve">% </w:t>
      </w:r>
      <w:r>
        <w:rPr>
          <w:b/>
          <w:bCs/>
          <w:color w:val="000000"/>
          <w:lang w:val="fr-FR"/>
        </w:rPr>
        <w:t>Icu</w:t>
      </w:r>
    </w:p>
    <w:p w:rsidR="00DE0BBC" w:rsidRDefault="00EF1C25">
      <w:pPr>
        <w:pStyle w:val="Textbody"/>
        <w:numPr>
          <w:ilvl w:val="0"/>
          <w:numId w:val="8"/>
        </w:numPr>
      </w:pPr>
      <w:r>
        <w:rPr>
          <w:bCs/>
        </w:rPr>
        <w:t>Napięcie zna</w:t>
      </w:r>
      <w:r>
        <w:rPr>
          <w:bCs/>
        </w:rPr>
        <w:t>mionowe izolacji</w:t>
      </w:r>
      <w:r>
        <w:rPr>
          <w:bCs/>
          <w:lang w:val="en-US"/>
        </w:rPr>
        <w:t>:</w:t>
      </w:r>
      <w:r>
        <w:rPr>
          <w:bCs/>
        </w:rPr>
        <w:t xml:space="preserve"> </w:t>
      </w:r>
      <w:proofErr w:type="spellStart"/>
      <w:r>
        <w:rPr>
          <w:bCs/>
        </w:rPr>
        <w:t>Ui</w:t>
      </w:r>
      <w:proofErr w:type="spellEnd"/>
      <w:r>
        <w:rPr>
          <w:bCs/>
        </w:rPr>
        <w:t xml:space="preserve"> =</w:t>
      </w:r>
      <w:r>
        <w:rPr>
          <w:bCs/>
          <w:lang w:val="en-US"/>
        </w:rPr>
        <w:t xml:space="preserve"> 1000V</w:t>
      </w:r>
    </w:p>
    <w:p w:rsidR="00DE0BBC" w:rsidRDefault="00EF1C25">
      <w:pPr>
        <w:pStyle w:val="Textbody"/>
        <w:numPr>
          <w:ilvl w:val="0"/>
          <w:numId w:val="8"/>
        </w:numPr>
      </w:pPr>
      <w:r>
        <w:rPr>
          <w:bCs/>
        </w:rPr>
        <w:t>Napięcie znamionowe udarowe</w:t>
      </w:r>
      <w:r>
        <w:rPr>
          <w:bCs/>
          <w:lang w:val="en-US"/>
        </w:rPr>
        <w:t xml:space="preserve">: </w:t>
      </w:r>
      <w:proofErr w:type="spellStart"/>
      <w:r>
        <w:rPr>
          <w:bCs/>
        </w:rPr>
        <w:t>Uimp</w:t>
      </w:r>
      <w:proofErr w:type="spellEnd"/>
      <w:r>
        <w:rPr>
          <w:bCs/>
        </w:rPr>
        <w:t xml:space="preserve"> = </w:t>
      </w:r>
      <w:r>
        <w:rPr>
          <w:bCs/>
          <w:lang w:val="en-US"/>
        </w:rPr>
        <w:t>12kV</w:t>
      </w:r>
    </w:p>
    <w:p w:rsidR="00DE0BBC" w:rsidRDefault="00EF1C25">
      <w:pPr>
        <w:pStyle w:val="Textbody"/>
        <w:numPr>
          <w:ilvl w:val="0"/>
          <w:numId w:val="8"/>
        </w:numPr>
      </w:pPr>
      <w:r>
        <w:rPr>
          <w:bCs/>
        </w:rPr>
        <w:t>Napięcie znamionowe łączeniowe</w:t>
      </w:r>
      <w:r>
        <w:rPr>
          <w:bCs/>
          <w:lang w:val="en-US"/>
        </w:rPr>
        <w:t xml:space="preserve">: </w:t>
      </w:r>
      <w:proofErr w:type="spellStart"/>
      <w:r>
        <w:rPr>
          <w:bCs/>
        </w:rPr>
        <w:t>Ue</w:t>
      </w:r>
      <w:proofErr w:type="spellEnd"/>
      <w:r>
        <w:rPr>
          <w:bCs/>
        </w:rPr>
        <w:t xml:space="preserve"> = </w:t>
      </w:r>
      <w:r>
        <w:rPr>
          <w:bCs/>
          <w:lang w:val="en-US"/>
        </w:rPr>
        <w:t>690V</w:t>
      </w:r>
    </w:p>
    <w:p w:rsidR="00DE0BBC" w:rsidRDefault="00EF1C25">
      <w:pPr>
        <w:pStyle w:val="Textbody"/>
        <w:ind w:left="720"/>
        <w:rPr>
          <w:bCs/>
        </w:rPr>
      </w:pPr>
      <w:r>
        <w:rPr>
          <w:bCs/>
        </w:rPr>
        <w:t>Wersje specjalne</w:t>
      </w:r>
    </w:p>
    <w:p w:rsidR="00DE0BBC" w:rsidRDefault="00EF1C25">
      <w:pPr>
        <w:pStyle w:val="Textbody"/>
        <w:numPr>
          <w:ilvl w:val="0"/>
          <w:numId w:val="8"/>
        </w:numPr>
      </w:pPr>
      <w:r>
        <w:t>Rozłączniki</w:t>
      </w:r>
    </w:p>
    <w:p w:rsidR="00DE0BBC" w:rsidRDefault="00EF1C25">
      <w:pPr>
        <w:pStyle w:val="Textbody"/>
        <w:numPr>
          <w:ilvl w:val="0"/>
          <w:numId w:val="8"/>
        </w:numPr>
        <w:rPr>
          <w:lang w:val="en-US"/>
        </w:rPr>
      </w:pPr>
      <w:r>
        <w:rPr>
          <w:lang w:val="en-US"/>
        </w:rPr>
        <w:t>1000V AC</w:t>
      </w:r>
    </w:p>
    <w:p w:rsidR="00DE0BBC" w:rsidRDefault="00EF1C25">
      <w:pPr>
        <w:pStyle w:val="Textbody"/>
        <w:numPr>
          <w:ilvl w:val="0"/>
          <w:numId w:val="8"/>
        </w:numPr>
        <w:rPr>
          <w:lang w:val="en-US"/>
        </w:rPr>
      </w:pPr>
      <w:r>
        <w:rPr>
          <w:lang w:val="en-US"/>
        </w:rPr>
        <w:t>DC</w:t>
      </w:r>
    </w:p>
    <w:p w:rsidR="00DE0BBC" w:rsidRDefault="00EF1C25">
      <w:pPr>
        <w:pStyle w:val="Textbody"/>
        <w:numPr>
          <w:ilvl w:val="0"/>
          <w:numId w:val="8"/>
        </w:numPr>
        <w:rPr>
          <w:lang w:val="en-US"/>
        </w:rPr>
      </w:pPr>
      <w:r>
        <w:rPr>
          <w:lang w:val="en-US"/>
        </w:rPr>
        <w:t>400Hz - 16Hz 2/3</w:t>
      </w:r>
    </w:p>
    <w:p w:rsidR="005B57AC" w:rsidRDefault="005B57AC" w:rsidP="005B57AC">
      <w:pPr>
        <w:pStyle w:val="Textbody"/>
        <w:ind w:left="720"/>
        <w:rPr>
          <w:lang w:val="en-US"/>
        </w:rPr>
      </w:pPr>
    </w:p>
    <w:p w:rsidR="00DE0BBC" w:rsidRDefault="00EF1C25">
      <w:pPr>
        <w:pStyle w:val="Nagwek1"/>
        <w:pageBreakBefore w:val="0"/>
        <w:rPr>
          <w:rFonts w:hint="eastAsia"/>
          <w:u w:val="none"/>
        </w:rPr>
      </w:pPr>
      <w:bookmarkStart w:id="4" w:name="__RefHeading___Toc11043084"/>
      <w:r>
        <w:rPr>
          <w:rFonts w:ascii="Arial" w:hAnsi="Arial" w:cs="Arial"/>
          <w:u w:val="none"/>
          <w:lang w:eastAsia="pl-PL"/>
        </w:rPr>
        <w:lastRenderedPageBreak/>
        <w:t>Referencje</w:t>
      </w:r>
      <w:bookmarkEnd w:id="4"/>
      <w:r>
        <w:rPr>
          <w:rFonts w:ascii="Arial" w:hAnsi="Arial" w:cs="Arial"/>
          <w:u w:val="none"/>
          <w:lang w:eastAsia="pl-PL"/>
        </w:rPr>
        <w:t xml:space="preserve"> oraz ocena zgodności oferty</w:t>
      </w:r>
    </w:p>
    <w:p w:rsidR="00DE0BBC" w:rsidRDefault="00DE0BBC">
      <w:pPr>
        <w:pStyle w:val="Standard"/>
        <w:spacing w:after="120"/>
        <w:ind w:right="304"/>
        <w:rPr>
          <w:rFonts w:cs="Calibri"/>
          <w:b/>
          <w:bCs/>
        </w:rPr>
      </w:pPr>
    </w:p>
    <w:p w:rsidR="00DE0BBC" w:rsidRDefault="00EF1C25">
      <w:pPr>
        <w:pStyle w:val="Standard"/>
        <w:spacing w:after="120"/>
        <w:ind w:right="304"/>
      </w:pPr>
      <w:r>
        <w:rPr>
          <w:rFonts w:cs="Calibri"/>
          <w:b/>
          <w:bCs/>
        </w:rPr>
        <w:t>W celu oceny zgodności proponowanego rozwiązania z zapisami SWIZ oraz PFU, oferent jest zobligowany do przedstawienia kart katalogowych oferowanych urządzeń oraz układu przy składaniu oferty</w:t>
      </w:r>
      <w:r>
        <w:rPr>
          <w:rFonts w:cs="Calibri"/>
          <w:b/>
          <w:bCs/>
        </w:rPr>
        <w:t>.</w:t>
      </w:r>
    </w:p>
    <w:p w:rsidR="00DE0BBC" w:rsidRDefault="00DE0BBC">
      <w:pPr>
        <w:pStyle w:val="Standard"/>
        <w:spacing w:after="120"/>
        <w:ind w:right="304"/>
        <w:rPr>
          <w:rFonts w:cs="Calibri"/>
          <w:b/>
          <w:bCs/>
        </w:rPr>
      </w:pPr>
    </w:p>
    <w:p w:rsidR="00DE0BBC" w:rsidRDefault="00EF1C25">
      <w:pPr>
        <w:pStyle w:val="Textbody"/>
        <w:rPr>
          <w:color w:val="000000"/>
        </w:rPr>
      </w:pPr>
      <w:r>
        <w:rPr>
          <w:color w:val="000000"/>
        </w:rPr>
        <w:t>Zamawiający nie dopuszcza możliwo</w:t>
      </w:r>
      <w:r>
        <w:rPr>
          <w:color w:val="000000"/>
        </w:rPr>
        <w:t>ści złożenia oferty wariantowej lub alternatywnej.</w:t>
      </w:r>
    </w:p>
    <w:p w:rsidR="00DE0BBC" w:rsidRDefault="00EF1C25">
      <w:pPr>
        <w:pStyle w:val="Textbody"/>
        <w:rPr>
          <w:color w:val="000000"/>
        </w:rPr>
      </w:pPr>
      <w:r>
        <w:rPr>
          <w:color w:val="000000"/>
        </w:rPr>
        <w:t>W przypadku, gdy Oferent złoży ofertę niezgodną z wymaganiami określonymi w SIWZ albo nie</w:t>
      </w:r>
    </w:p>
    <w:p w:rsidR="00DE0BBC" w:rsidRDefault="00EF1C25">
      <w:pPr>
        <w:pStyle w:val="Textbody"/>
        <w:rPr>
          <w:color w:val="000000"/>
        </w:rPr>
      </w:pPr>
      <w:r>
        <w:rPr>
          <w:color w:val="000000"/>
        </w:rPr>
        <w:t>spełniającą wymagań określonych w zakresie rzeczowym, oferty podlegają odrzuceniu i nie</w:t>
      </w:r>
    </w:p>
    <w:p w:rsidR="00DE0BBC" w:rsidRDefault="00EF1C25">
      <w:pPr>
        <w:pStyle w:val="Textbody"/>
        <w:rPr>
          <w:color w:val="000000"/>
        </w:rPr>
      </w:pPr>
      <w:r>
        <w:rPr>
          <w:color w:val="000000"/>
        </w:rPr>
        <w:t xml:space="preserve">podlegają dalszemu </w:t>
      </w:r>
      <w:r>
        <w:rPr>
          <w:color w:val="000000"/>
        </w:rPr>
        <w:t>badaniu oraz ocenie. W toku badania ofert Zamawiający może zwracać się</w:t>
      </w:r>
    </w:p>
    <w:p w:rsidR="00DE0BBC" w:rsidRDefault="00EF1C25">
      <w:pPr>
        <w:pStyle w:val="Textbody"/>
        <w:rPr>
          <w:color w:val="000000"/>
        </w:rPr>
      </w:pPr>
      <w:r>
        <w:rPr>
          <w:color w:val="000000"/>
        </w:rPr>
        <w:t>do Oferentów o wyjaśnienie treści złożonych dokumentów i oświadczeń lub o ich uzupełnienie</w:t>
      </w:r>
    </w:p>
    <w:p w:rsidR="00DE0BBC" w:rsidRDefault="00EF1C25">
      <w:pPr>
        <w:pStyle w:val="Textbody"/>
        <w:rPr>
          <w:color w:val="000000"/>
        </w:rPr>
      </w:pPr>
      <w:r>
        <w:rPr>
          <w:color w:val="000000"/>
        </w:rPr>
        <w:t>w wyznaczonym terminie.</w:t>
      </w:r>
    </w:p>
    <w:p w:rsidR="00DE0BBC" w:rsidRDefault="00DE0BBC">
      <w:pPr>
        <w:pStyle w:val="Textbody"/>
        <w:rPr>
          <w:color w:val="000000"/>
        </w:rPr>
      </w:pPr>
    </w:p>
    <w:p w:rsidR="00DE0BBC" w:rsidRDefault="00EF1C25">
      <w:pPr>
        <w:pStyle w:val="Textbody"/>
        <w:rPr>
          <w:color w:val="000000"/>
        </w:rPr>
      </w:pPr>
      <w:r>
        <w:rPr>
          <w:color w:val="000000"/>
        </w:rPr>
        <w:t>Wymagania dotyczące referencji z ostatnich 4- lat:</w:t>
      </w:r>
    </w:p>
    <w:p w:rsidR="00DE0BBC" w:rsidRDefault="00DE0BBC">
      <w:pPr>
        <w:pStyle w:val="Textbody"/>
        <w:rPr>
          <w:color w:val="000000"/>
        </w:rPr>
      </w:pPr>
    </w:p>
    <w:p w:rsidR="00DE0BBC" w:rsidRDefault="00EF1C25">
      <w:pPr>
        <w:pStyle w:val="Textbody"/>
        <w:rPr>
          <w:color w:val="000000"/>
        </w:rPr>
      </w:pPr>
      <w:r>
        <w:rPr>
          <w:color w:val="000000"/>
        </w:rPr>
        <w:t>Udokumentowanie p</w:t>
      </w:r>
      <w:r>
        <w:rPr>
          <w:color w:val="000000"/>
        </w:rPr>
        <w:t>ojedynczych zdań polegających na:</w:t>
      </w:r>
    </w:p>
    <w:p w:rsidR="00DE0BBC" w:rsidRDefault="00EF1C25">
      <w:pPr>
        <w:pStyle w:val="Textbody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Wykonaniu projektu i realizacji robót  budowlano montażowych polegających na wymianie transformatorów SN i przebudowanie stacji NN wraz z szynoprzewodami oraz wymianą układem automatyki SZR.</w:t>
      </w:r>
    </w:p>
    <w:p w:rsidR="00DE0BBC" w:rsidRDefault="00DE0BBC">
      <w:pPr>
        <w:pStyle w:val="Textbody"/>
        <w:rPr>
          <w:color w:val="000000"/>
        </w:rPr>
      </w:pPr>
    </w:p>
    <w:p w:rsidR="00DE0BBC" w:rsidRDefault="00DE0BBC">
      <w:pPr>
        <w:pStyle w:val="Standard"/>
        <w:rPr>
          <w:rFonts w:cs="Calibri"/>
        </w:rPr>
      </w:pPr>
    </w:p>
    <w:p w:rsidR="00DE0BBC" w:rsidRDefault="00DE0BBC">
      <w:pPr>
        <w:pStyle w:val="Textbody"/>
        <w:ind w:left="720"/>
        <w:jc w:val="center"/>
        <w:rPr>
          <w:color w:val="000000"/>
          <w:sz w:val="32"/>
          <w:szCs w:val="32"/>
        </w:rPr>
      </w:pPr>
    </w:p>
    <w:sectPr w:rsidR="00DE0B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1C25">
      <w:r>
        <w:separator/>
      </w:r>
    </w:p>
  </w:endnote>
  <w:endnote w:type="continuationSeparator" w:id="0">
    <w:p w:rsidR="00000000" w:rsidRDefault="00EF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PL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 (W1)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1C25">
      <w:r>
        <w:rPr>
          <w:color w:val="000000"/>
        </w:rPr>
        <w:separator/>
      </w:r>
    </w:p>
  </w:footnote>
  <w:footnote w:type="continuationSeparator" w:id="0">
    <w:p w:rsidR="00000000" w:rsidRDefault="00EF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6F6"/>
    <w:multiLevelType w:val="multilevel"/>
    <w:tmpl w:val="2CDEBA74"/>
    <w:styleLink w:val="WW8Num3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pl-PL"/>
      </w:rPr>
    </w:lvl>
  </w:abstractNum>
  <w:abstractNum w:abstractNumId="1" w15:restartNumberingAfterBreak="0">
    <w:nsid w:val="304A420D"/>
    <w:multiLevelType w:val="multilevel"/>
    <w:tmpl w:val="4A3C520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01E38"/>
    <w:multiLevelType w:val="multilevel"/>
    <w:tmpl w:val="FA5091B6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9B97FD7"/>
    <w:multiLevelType w:val="multilevel"/>
    <w:tmpl w:val="43F47C86"/>
    <w:styleLink w:val="WW8Num25"/>
    <w:lvl w:ilvl="0"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D6E44A1"/>
    <w:multiLevelType w:val="multilevel"/>
    <w:tmpl w:val="08CCEB1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720230C"/>
    <w:multiLevelType w:val="multilevel"/>
    <w:tmpl w:val="62A03098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D9731F9"/>
    <w:multiLevelType w:val="multilevel"/>
    <w:tmpl w:val="9572A4EC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68B70ABD"/>
    <w:multiLevelType w:val="multilevel"/>
    <w:tmpl w:val="567C4972"/>
    <w:styleLink w:val="WW8Num30"/>
    <w:lvl w:ilvl="0">
      <w:start w:val="2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8" w15:restartNumberingAfterBreak="0">
    <w:nsid w:val="7DE811A2"/>
    <w:multiLevelType w:val="multilevel"/>
    <w:tmpl w:val="6D526750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  <w:lvlOverride w:ilvl="0"/>
  </w:num>
  <w:num w:numId="11">
    <w:abstractNumId w:val="0"/>
    <w:lvlOverride w:ilvl="0"/>
  </w:num>
  <w:num w:numId="12">
    <w:abstractNumId w:val="2"/>
    <w:lvlOverride w:ilvl="0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0BBC"/>
    <w:rsid w:val="005B57AC"/>
    <w:rsid w:val="006E2F0D"/>
    <w:rsid w:val="00DE0BBC"/>
    <w:rsid w:val="00E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9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Contents1"/>
    <w:next w:val="Standard"/>
    <w:uiPriority w:val="9"/>
    <w:qFormat/>
    <w:pPr>
      <w:pageBreakBefore/>
      <w:tabs>
        <w:tab w:val="right" w:pos="-2410"/>
        <w:tab w:val="left" w:pos="400"/>
        <w:tab w:val="left" w:pos="720"/>
      </w:tabs>
      <w:spacing w:before="240" w:after="120"/>
      <w:jc w:val="both"/>
      <w:outlineLvl w:val="0"/>
    </w:pPr>
    <w:rPr>
      <w:rFonts w:ascii="Arial PL" w:hAnsi="Arial PL" w:cs="Arial PL"/>
      <w:b/>
      <w:spacing w:val="4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1">
    <w:name w:val="Contents 1"/>
    <w:basedOn w:val="Standard"/>
    <w:next w:val="Standard"/>
  </w:style>
  <w:style w:type="paragraph" w:styleId="Tekstpodstawowy2">
    <w:name w:val="Body Text 2"/>
    <w:basedOn w:val="Standard"/>
    <w:pPr>
      <w:ind w:left="1418"/>
    </w:pPr>
  </w:style>
  <w:style w:type="paragraph" w:styleId="Listapunktowana">
    <w:name w:val="List Bullet"/>
    <w:basedOn w:val="Standard"/>
    <w:pPr>
      <w:numPr>
        <w:numId w:val="2"/>
      </w:numPr>
      <w:spacing w:after="120"/>
    </w:pPr>
    <w:rPr>
      <w:rFonts w:ascii="Univers (W1)" w:hAnsi="Univers (W1)" w:cs="Univers (W1)"/>
      <w:lang w:val="en-GB"/>
    </w:rPr>
  </w:style>
  <w:style w:type="paragraph" w:styleId="Tekstblokowy">
    <w:name w:val="Block Text"/>
    <w:basedOn w:val="Standard"/>
    <w:pPr>
      <w:ind w:left="57" w:right="57"/>
    </w:pPr>
    <w:rPr>
      <w:rFonts w:ascii="Arial PL" w:hAnsi="Arial PL" w:cs="Arial PL"/>
    </w:rPr>
  </w:style>
  <w:style w:type="paragraph" w:customStyle="1" w:styleId="tabnonjustif">
    <w:name w:val="tabnonjustif"/>
    <w:basedOn w:val="Standard"/>
    <w:next w:val="Standard"/>
    <w:pPr>
      <w:tabs>
        <w:tab w:val="left" w:leader="dot" w:pos="4536"/>
        <w:tab w:val="left" w:pos="4820"/>
      </w:tabs>
    </w:pPr>
    <w:rPr>
      <w:sz w:val="22"/>
      <w:lang w:val="fr-FR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33z0">
    <w:name w:val="WW8Num33z0"/>
    <w:rPr>
      <w:rFonts w:cs="Arial"/>
      <w:sz w:val="20"/>
      <w:lang w:val="pl-PL"/>
    </w:rPr>
  </w:style>
  <w:style w:type="character" w:customStyle="1" w:styleId="WW8Num11z0">
    <w:name w:val="WW8Num11z0"/>
    <w:rPr>
      <w:rFonts w:ascii="Symbol" w:hAnsi="Symbol" w:cs="Symbol"/>
      <w:lang w:val="pl-P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0">
    <w:name w:val="WW8Num14z0"/>
    <w:rPr>
      <w:rFonts w:cs="Arial"/>
      <w:lang w:val="pl-PL"/>
    </w:rPr>
  </w:style>
  <w:style w:type="character" w:customStyle="1" w:styleId="WW8Num30z0">
    <w:name w:val="WW8Num30z0"/>
  </w:style>
  <w:style w:type="character" w:customStyle="1" w:styleId="WW8Num32z0">
    <w:name w:val="WW8Num32z0"/>
    <w:rPr>
      <w:rFonts w:ascii="Wingdings" w:hAnsi="Wingdings" w:cs="Wingdings"/>
      <w:lang w:val="pl-P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color w:val="000000"/>
      <w:lang w:val="en-U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9">
    <w:name w:val="WW8Num19"/>
    <w:basedOn w:val="Bezlisty"/>
    <w:pPr>
      <w:numPr>
        <w:numId w:val="1"/>
      </w:numPr>
    </w:pPr>
  </w:style>
  <w:style w:type="numbering" w:customStyle="1" w:styleId="WW8Num25">
    <w:name w:val="WW8Num25"/>
    <w:basedOn w:val="Bezlisty"/>
    <w:pPr>
      <w:numPr>
        <w:numId w:val="2"/>
      </w:numPr>
    </w:pPr>
  </w:style>
  <w:style w:type="numbering" w:customStyle="1" w:styleId="WW8Num33">
    <w:name w:val="WW8Num33"/>
    <w:basedOn w:val="Bezlisty"/>
    <w:pPr>
      <w:numPr>
        <w:numId w:val="3"/>
      </w:numPr>
    </w:pPr>
  </w:style>
  <w:style w:type="numbering" w:customStyle="1" w:styleId="WW8Num11">
    <w:name w:val="WW8Num11"/>
    <w:basedOn w:val="Bezlisty"/>
    <w:pPr>
      <w:numPr>
        <w:numId w:val="4"/>
      </w:numPr>
    </w:pPr>
  </w:style>
  <w:style w:type="numbering" w:customStyle="1" w:styleId="WW8Num14">
    <w:name w:val="WW8Num14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2">
    <w:name w:val="WW8Num32"/>
    <w:basedOn w:val="Bezlisty"/>
    <w:pPr>
      <w:numPr>
        <w:numId w:val="7"/>
      </w:numPr>
    </w:pPr>
  </w:style>
  <w:style w:type="numbering" w:customStyle="1" w:styleId="WW8Num26">
    <w:name w:val="WW8Num26"/>
    <w:basedOn w:val="Bezlisty"/>
    <w:pPr>
      <w:numPr>
        <w:numId w:val="8"/>
      </w:numPr>
    </w:pPr>
  </w:style>
  <w:style w:type="numbering" w:customStyle="1" w:styleId="WW8Num2">
    <w:name w:val="WW8Num2"/>
    <w:basedOn w:val="Bezlisty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7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A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6475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Bogdanowicz</dc:creator>
  <cp:lastModifiedBy>Przemysław Bogdanowicz</cp:lastModifiedBy>
  <cp:revision>2</cp:revision>
  <dcterms:created xsi:type="dcterms:W3CDTF">2021-03-30T12:37:00Z</dcterms:created>
  <dcterms:modified xsi:type="dcterms:W3CDTF">2021-03-30T12:37:00Z</dcterms:modified>
</cp:coreProperties>
</file>