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0DC" w:rsidRDefault="006D362C">
      <w:pPr>
        <w:spacing w:after="0" w:line="300" w:lineRule="auto"/>
        <w:jc w:val="center"/>
        <w:rPr>
          <w:rFonts w:ascii="Liberation Serif" w:hAnsi="Liberation Serif"/>
        </w:rPr>
      </w:pPr>
      <w:r>
        <w:rPr>
          <w:rFonts w:ascii="Franklin Gothic Medium" w:hAnsi="Franklin Gothic Medium" w:cs="Arial"/>
          <w:b/>
          <w:color w:val="808080" w:themeColor="background1" w:themeShade="80"/>
          <w:sz w:val="18"/>
          <w:szCs w:val="18"/>
        </w:rPr>
        <w:t>„</w:t>
      </w:r>
      <w:r>
        <w:rPr>
          <w:rFonts w:ascii="Franklin Gothic Medium" w:eastAsia="SimSun" w:hAnsi="Franklin Gothic Medium" w:cs="Mangal"/>
          <w:b/>
          <w:color w:val="00000A"/>
          <w:sz w:val="18"/>
          <w:szCs w:val="18"/>
          <w:lang w:eastAsia="zh-CN" w:bidi="hi-IN"/>
        </w:rPr>
        <w:t>Poprawa sytuacji epidemiologicznej w związku z zagrożeniem spowodowanym przez koronawirus SARS-CoV-2 na terenie województwa podlaskiego</w:t>
      </w:r>
      <w:r>
        <w:rPr>
          <w:rFonts w:ascii="Franklin Gothic Medium" w:hAnsi="Franklin Gothic Medium" w:cs="Arial"/>
          <w:b/>
          <w:color w:val="808080" w:themeColor="background1" w:themeShade="80"/>
          <w:sz w:val="18"/>
          <w:szCs w:val="18"/>
        </w:rPr>
        <w:t>”</w:t>
      </w:r>
    </w:p>
    <w:p w:rsidR="00D130DC" w:rsidRDefault="006D362C">
      <w:r>
        <w:rPr>
          <w:rFonts w:ascii="Palatino Linotype" w:eastAsia="Arial" w:hAnsi="Palatino Linotype" w:cs="Arial"/>
          <w:color w:val="000000"/>
          <w:sz w:val="24"/>
          <w:szCs w:val="24"/>
          <w:highlight w:val="white"/>
        </w:rPr>
        <w:tab/>
      </w:r>
    </w:p>
    <w:p w:rsidR="00D130DC" w:rsidRDefault="006D362C">
      <w:pPr>
        <w:rPr>
          <w:b/>
          <w:bCs/>
        </w:rPr>
      </w:pPr>
      <w:r w:rsidRPr="00CE1814">
        <w:rPr>
          <w:rFonts w:ascii="Palatino Linotype" w:eastAsia="Arial" w:hAnsi="Palatino Linotype" w:cs="Arial"/>
          <w:b/>
          <w:bCs/>
          <w:color w:val="000000" w:themeColor="text1"/>
          <w:sz w:val="24"/>
          <w:szCs w:val="24"/>
          <w:highlight w:val="white"/>
        </w:rPr>
        <w:t>ZO 0</w:t>
      </w:r>
      <w:r w:rsidR="005544A7" w:rsidRPr="00CE1814">
        <w:rPr>
          <w:rFonts w:ascii="Palatino Linotype" w:eastAsia="Arial" w:hAnsi="Palatino Linotype" w:cs="Arial"/>
          <w:b/>
          <w:bCs/>
          <w:color w:val="000000" w:themeColor="text1"/>
          <w:sz w:val="24"/>
          <w:szCs w:val="24"/>
          <w:highlight w:val="white"/>
        </w:rPr>
        <w:t>9</w:t>
      </w:r>
      <w:r w:rsidRPr="00CE1814">
        <w:rPr>
          <w:rFonts w:ascii="Palatino Linotype" w:eastAsia="Arial" w:hAnsi="Palatino Linotype" w:cs="Arial"/>
          <w:b/>
          <w:bCs/>
          <w:color w:val="000000" w:themeColor="text1"/>
          <w:sz w:val="24"/>
          <w:szCs w:val="24"/>
          <w:highlight w:val="white"/>
        </w:rPr>
        <w:t>/21</w:t>
      </w:r>
      <w:r w:rsidRPr="00CE1814">
        <w:rPr>
          <w:rFonts w:ascii="Palatino Linotype" w:eastAsia="Arial" w:hAnsi="Palatino Linotype" w:cs="Arial"/>
          <w:b/>
          <w:bCs/>
          <w:color w:val="000000" w:themeColor="text1"/>
          <w:sz w:val="24"/>
          <w:szCs w:val="24"/>
          <w:highlight w:val="white"/>
        </w:rPr>
        <w:tab/>
      </w:r>
      <w:r>
        <w:rPr>
          <w:rFonts w:ascii="Palatino Linotype" w:eastAsia="Arial" w:hAnsi="Palatino Linotype" w:cs="Arial"/>
          <w:b/>
          <w:bCs/>
          <w:color w:val="000000"/>
          <w:sz w:val="24"/>
          <w:szCs w:val="24"/>
          <w:highlight w:val="white"/>
        </w:rPr>
        <w:tab/>
      </w:r>
      <w:r>
        <w:rPr>
          <w:rFonts w:ascii="Palatino Linotype" w:eastAsia="Arial" w:hAnsi="Palatino Linotype" w:cs="Arial"/>
          <w:b/>
          <w:bCs/>
          <w:color w:val="000000"/>
          <w:sz w:val="24"/>
          <w:szCs w:val="24"/>
          <w:highlight w:val="white"/>
        </w:rPr>
        <w:tab/>
      </w:r>
      <w:r>
        <w:rPr>
          <w:rFonts w:ascii="Palatino Linotype" w:eastAsia="Arial" w:hAnsi="Palatino Linotype" w:cs="Arial"/>
          <w:b/>
          <w:bCs/>
          <w:color w:val="000000"/>
          <w:sz w:val="24"/>
          <w:szCs w:val="24"/>
          <w:highlight w:val="white"/>
        </w:rPr>
        <w:tab/>
      </w:r>
      <w:r>
        <w:rPr>
          <w:rFonts w:ascii="Palatino Linotype" w:eastAsia="Arial" w:hAnsi="Palatino Linotype" w:cs="Arial"/>
          <w:b/>
          <w:bCs/>
          <w:color w:val="000000"/>
          <w:sz w:val="24"/>
          <w:szCs w:val="24"/>
          <w:highlight w:val="white"/>
        </w:rPr>
        <w:tab/>
      </w:r>
      <w:r>
        <w:rPr>
          <w:rFonts w:ascii="Palatino Linotype" w:eastAsia="Arial" w:hAnsi="Palatino Linotype" w:cs="Arial"/>
          <w:b/>
          <w:bCs/>
          <w:color w:val="000000"/>
          <w:sz w:val="24"/>
          <w:szCs w:val="24"/>
          <w:highlight w:val="white"/>
        </w:rPr>
        <w:tab/>
      </w:r>
      <w:r>
        <w:rPr>
          <w:rFonts w:ascii="Palatino Linotype" w:eastAsia="Arial" w:hAnsi="Palatino Linotype" w:cs="Arial"/>
          <w:b/>
          <w:bCs/>
          <w:color w:val="000000"/>
          <w:sz w:val="24"/>
          <w:szCs w:val="24"/>
          <w:highlight w:val="white"/>
        </w:rPr>
        <w:tab/>
      </w:r>
      <w:r>
        <w:rPr>
          <w:rFonts w:ascii="Palatino Linotype" w:eastAsia="Arial" w:hAnsi="Palatino Linotype" w:cs="Arial"/>
          <w:b/>
          <w:bCs/>
          <w:color w:val="000000"/>
          <w:sz w:val="24"/>
          <w:szCs w:val="24"/>
          <w:highlight w:val="white"/>
        </w:rPr>
        <w:tab/>
      </w:r>
      <w:r>
        <w:rPr>
          <w:rFonts w:ascii="Palatino Linotype" w:eastAsia="Arial" w:hAnsi="Palatino Linotype" w:cs="Arial"/>
          <w:b/>
          <w:bCs/>
          <w:color w:val="000000"/>
          <w:sz w:val="24"/>
          <w:szCs w:val="24"/>
          <w:highlight w:val="white"/>
        </w:rPr>
        <w:tab/>
        <w:t>Załącznik nr 7</w:t>
      </w:r>
    </w:p>
    <w:p w:rsidR="00D130DC" w:rsidRDefault="00D130DC">
      <w:pPr>
        <w:rPr>
          <w:rFonts w:ascii="Palatino Linotype" w:eastAsia="Arial" w:hAnsi="Palatino Linotype" w:cs="Arial"/>
          <w:color w:val="000000"/>
          <w:sz w:val="24"/>
          <w:szCs w:val="24"/>
          <w:highlight w:val="white"/>
        </w:rPr>
      </w:pPr>
    </w:p>
    <w:p w:rsidR="00D130DC" w:rsidRDefault="006D362C">
      <w:pPr>
        <w:jc w:val="center"/>
      </w:pPr>
      <w:r>
        <w:rPr>
          <w:rFonts w:ascii="Palatino Linotype" w:eastAsia="Arial" w:hAnsi="Palatino Linotype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Palatino Linotype" w:eastAsia="Arial" w:hAnsi="Palatino Linotype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Palatino Linotype" w:eastAsia="Arial" w:hAnsi="Palatino Linotype" w:cs="Arial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OPIS PRAC DOSTOSOWAWCZYCH CENTRALNEJ STERYLIZATORNI</w:t>
      </w:r>
    </w:p>
    <w:p w:rsidR="00D130DC" w:rsidRDefault="00D130DC">
      <w:pPr>
        <w:jc w:val="center"/>
        <w:rPr>
          <w:rFonts w:ascii="Palatino Linotype" w:eastAsia="Arial" w:hAnsi="Palatino Linotype" w:cs="Arial"/>
          <w:b/>
          <w:bCs/>
          <w:color w:val="000000"/>
          <w:sz w:val="24"/>
          <w:szCs w:val="24"/>
          <w:highlight w:val="white"/>
          <w:lang w:eastAsia="zh-CN" w:bidi="hi-IN"/>
        </w:rPr>
      </w:pPr>
    </w:p>
    <w:p w:rsidR="00D130DC" w:rsidRDefault="006D362C" w:rsidP="00BF5F29">
      <w:pPr>
        <w:numPr>
          <w:ilvl w:val="0"/>
          <w:numId w:val="1"/>
        </w:numPr>
        <w:jc w:val="both"/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Wykonanie dokumentacji technicznej po uzgodnieniu z użytkownikiem w celu wykonania niezbędnych prac związanych z adaptacją pomieszczenia dla potrzeb </w:t>
      </w:r>
      <w:r>
        <w:rPr>
          <w:rFonts w:ascii="Tahoma" w:eastAsia="Times New Roman" w:hAnsi="Tahoma" w:cs="Tahoma"/>
          <w:bCs/>
          <w:iCs/>
          <w:sz w:val="20"/>
          <w:szCs w:val="20"/>
          <w:lang w:eastAsia="pl-PL"/>
        </w:rPr>
        <w:t>sterylizatorów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wraz </w:t>
      </w:r>
      <w:r w:rsidR="00BF5F29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z uzyskaniem wszelkich potrzebnych materiałów, badań, uzgodnień branżowych i ekspertyz. Dokumentacja musi być kompletna i spełniać wszelkie wymogi prawne. </w:t>
      </w:r>
    </w:p>
    <w:p w:rsidR="00D130DC" w:rsidRDefault="006D362C" w:rsidP="00BF5F29">
      <w:pPr>
        <w:numPr>
          <w:ilvl w:val="0"/>
          <w:numId w:val="1"/>
        </w:numPr>
        <w:jc w:val="both"/>
      </w:pPr>
      <w:r>
        <w:rPr>
          <w:rFonts w:ascii="Tahoma" w:eastAsia="Times New Roman" w:hAnsi="Tahoma" w:cs="Tahoma"/>
          <w:sz w:val="20"/>
          <w:szCs w:val="20"/>
          <w:lang w:eastAsia="pl-PL"/>
        </w:rPr>
        <w:t>Wykonanie wentylacji pomieszczeń CS, której wydajność zapewni prawidłową pracę oferowanych urządzeń oraz klimatyzacji części brudnej i strefy czystej.</w:t>
      </w:r>
    </w:p>
    <w:p w:rsidR="00D130DC" w:rsidRDefault="006D362C" w:rsidP="00BF5F29">
      <w:pPr>
        <w:ind w:left="720"/>
        <w:jc w:val="both"/>
      </w:pPr>
      <w:r>
        <w:rPr>
          <w:rFonts w:ascii="Tahoma" w:eastAsia="Times New Roman" w:hAnsi="Tahoma" w:cs="Tahoma"/>
          <w:sz w:val="20"/>
          <w:szCs w:val="20"/>
          <w:lang w:eastAsia="pl-PL"/>
        </w:rPr>
        <w:t>- Wyposażenie centrali  powinno zawierać filtr wstępny i dokładny HEPA.</w:t>
      </w:r>
    </w:p>
    <w:p w:rsidR="00D130DC" w:rsidRDefault="006D362C" w:rsidP="00BF5F29">
      <w:pPr>
        <w:ind w:left="720"/>
        <w:jc w:val="both"/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- Panel grzanie i panel chłodzenie w warunkach letnich do temperatury 30 stopni </w:t>
      </w:r>
      <w:r w:rsidR="00BF5F29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</w:t>
      </w:r>
      <w:r>
        <w:rPr>
          <w:rFonts w:ascii="Tahoma" w:eastAsia="Times New Roman" w:hAnsi="Tahoma" w:cs="Tahoma"/>
          <w:sz w:val="20"/>
          <w:szCs w:val="20"/>
          <w:lang w:eastAsia="pl-PL"/>
        </w:rPr>
        <w:t>z podciśnieniem</w:t>
      </w:r>
    </w:p>
    <w:p w:rsidR="00D130DC" w:rsidRDefault="006D362C" w:rsidP="00BF5F29">
      <w:pPr>
        <w:ind w:left="720"/>
        <w:jc w:val="both"/>
      </w:pPr>
      <w:r>
        <w:rPr>
          <w:rFonts w:ascii="Tahoma" w:eastAsia="Times New Roman" w:hAnsi="Tahoma" w:cs="Tahoma"/>
          <w:sz w:val="20"/>
          <w:szCs w:val="20"/>
          <w:lang w:eastAsia="pl-PL"/>
        </w:rPr>
        <w:t>- Należy wykonać projekt elektryczny</w:t>
      </w:r>
      <w:r w:rsidR="00E52860">
        <w:rPr>
          <w:rFonts w:ascii="Tahoma" w:eastAsia="Times New Roman" w:hAnsi="Tahoma" w:cs="Tahoma"/>
          <w:sz w:val="20"/>
          <w:szCs w:val="20"/>
          <w:lang w:eastAsia="pl-PL"/>
        </w:rPr>
        <w:t xml:space="preserve"> doboru i zasilania automatyki </w:t>
      </w:r>
      <w:r>
        <w:rPr>
          <w:rFonts w:ascii="Tahoma" w:eastAsia="Times New Roman" w:hAnsi="Tahoma" w:cs="Tahoma"/>
          <w:sz w:val="20"/>
          <w:szCs w:val="20"/>
          <w:lang w:eastAsia="pl-PL"/>
        </w:rPr>
        <w:t>centrali.</w:t>
      </w:r>
    </w:p>
    <w:p w:rsidR="00D130DC" w:rsidRDefault="006D362C" w:rsidP="00BF5F29">
      <w:pPr>
        <w:ind w:left="720"/>
        <w:jc w:val="both"/>
      </w:pPr>
      <w:r>
        <w:rPr>
          <w:rFonts w:ascii="Tahoma" w:eastAsia="Times New Roman" w:hAnsi="Tahoma" w:cs="Tahoma"/>
          <w:sz w:val="20"/>
          <w:szCs w:val="20"/>
          <w:lang w:eastAsia="pl-PL"/>
        </w:rPr>
        <w:t>- Chłodzenie i ogrzewania elektryczne</w:t>
      </w:r>
    </w:p>
    <w:p w:rsidR="00D130DC" w:rsidRDefault="006D362C" w:rsidP="00BF5F29">
      <w:pPr>
        <w:ind w:left="720"/>
        <w:jc w:val="both"/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- Odciąć i zdemontować istniejące nawiewy i wywiewy </w:t>
      </w:r>
    </w:p>
    <w:p w:rsidR="00D130DC" w:rsidRDefault="006D362C" w:rsidP="00BF5F29">
      <w:pPr>
        <w:ind w:left="720"/>
        <w:jc w:val="both"/>
      </w:pPr>
      <w:r>
        <w:rPr>
          <w:rFonts w:ascii="Tahoma" w:eastAsia="Times New Roman" w:hAnsi="Tahoma" w:cs="Tahoma"/>
          <w:sz w:val="20"/>
          <w:szCs w:val="20"/>
          <w:lang w:eastAsia="pl-PL"/>
        </w:rPr>
        <w:t>- Centralę zamontować na zewnątrz budynku</w:t>
      </w:r>
    </w:p>
    <w:p w:rsidR="00D130DC" w:rsidRDefault="006D362C" w:rsidP="00BF5F29">
      <w:pPr>
        <w:numPr>
          <w:ilvl w:val="0"/>
          <w:numId w:val="1"/>
        </w:numPr>
        <w:jc w:val="both"/>
      </w:pPr>
      <w:r>
        <w:rPr>
          <w:rFonts w:ascii="Tahoma" w:eastAsia="Times New Roman" w:hAnsi="Tahoma" w:cs="Tahoma"/>
          <w:sz w:val="20"/>
          <w:szCs w:val="20"/>
          <w:lang w:eastAsia="pl-PL"/>
        </w:rPr>
        <w:t>Wykonanie instalacji sanitarnej, w szczególności doprowadzenie wody do stołów zlewozmywakowych, myjni dezynfektorów, sterylizatorów parowych, pomieszczenia mycia wózków. Biały montaż.</w:t>
      </w:r>
    </w:p>
    <w:p w:rsidR="00D130DC" w:rsidRDefault="006D362C" w:rsidP="00BF5F29">
      <w:pPr>
        <w:numPr>
          <w:ilvl w:val="0"/>
          <w:numId w:val="1"/>
        </w:numPr>
        <w:jc w:val="both"/>
      </w:pPr>
      <w:r>
        <w:rPr>
          <w:rFonts w:ascii="Tahoma" w:eastAsia="Times New Roman" w:hAnsi="Tahoma" w:cs="Tahoma"/>
          <w:sz w:val="20"/>
          <w:szCs w:val="20"/>
          <w:lang w:eastAsia="pl-PL"/>
        </w:rPr>
        <w:t>Wykonanie instalacji kanalizacji, w szczególności przy stołach zlewozmywakowych, myjni dezynfektorów, sterylizatorów parowych, pomieszczenia mycia wózków</w:t>
      </w:r>
    </w:p>
    <w:p w:rsidR="00D130DC" w:rsidRDefault="006D362C" w:rsidP="00BF5F29">
      <w:pPr>
        <w:numPr>
          <w:ilvl w:val="0"/>
          <w:numId w:val="1"/>
        </w:numPr>
        <w:jc w:val="both"/>
      </w:pPr>
      <w:r>
        <w:rPr>
          <w:rFonts w:ascii="Tahoma" w:eastAsia="Times New Roman" w:hAnsi="Tahoma" w:cs="Tahoma"/>
          <w:sz w:val="20"/>
          <w:szCs w:val="20"/>
          <w:lang w:eastAsia="pl-PL"/>
        </w:rPr>
        <w:t>Wykonanie instalacji sprężonego powietrza, w szczególności doprowadzenie sprężonego powietrza do stołów zlewozmywakowych, myjni dezynfektorów, sterylizatorów parowych, pomieszczenia mycia wózków.</w:t>
      </w:r>
    </w:p>
    <w:p w:rsidR="00D130DC" w:rsidRDefault="006D362C" w:rsidP="00BF5F29">
      <w:pPr>
        <w:numPr>
          <w:ilvl w:val="0"/>
          <w:numId w:val="1"/>
        </w:numPr>
        <w:jc w:val="both"/>
      </w:pPr>
      <w:r>
        <w:rPr>
          <w:rFonts w:ascii="Tahoma" w:eastAsia="Times New Roman" w:hAnsi="Tahoma" w:cs="Tahoma"/>
          <w:sz w:val="20"/>
          <w:szCs w:val="20"/>
          <w:lang w:eastAsia="pl-PL"/>
        </w:rPr>
        <w:t>Wykonanie instalacji elektrycznej (gniazda zasilające i oświetlenie) we wszystkich pomieszczeniach. Wykonanie instalacji zasilającej do urządzeń technologicznych (sterylizatory parowe, myjnie dezynfektory, stacja uzdatniania wody).</w:t>
      </w:r>
    </w:p>
    <w:p w:rsidR="00D130DC" w:rsidRDefault="006D362C" w:rsidP="00BF5F29">
      <w:pPr>
        <w:numPr>
          <w:ilvl w:val="0"/>
          <w:numId w:val="1"/>
        </w:numPr>
        <w:jc w:val="both"/>
      </w:pPr>
      <w:r>
        <w:rPr>
          <w:rFonts w:ascii="Tahoma" w:eastAsia="Times New Roman" w:hAnsi="Tahoma" w:cs="Tahoma"/>
          <w:sz w:val="20"/>
          <w:szCs w:val="20"/>
          <w:lang w:eastAsia="pl-PL"/>
        </w:rPr>
        <w:t>Wykonanie wszystkich niezbędnych prac budowlanych związanych z dostosowaniem istniejących pomieszczeń do wymogów Rozporządzenia Ministra Zdrowia z instalacją wszystkich oferowanych urządzeń. Montaż stolarki drzwiowej w nowopowstałych pomieszczeniach. Pokrycie ścian i podłóg wykładziną PCV.</w:t>
      </w:r>
    </w:p>
    <w:p w:rsidR="00D130DC" w:rsidRDefault="006D362C" w:rsidP="00BF5F29">
      <w:pPr>
        <w:ind w:left="720"/>
        <w:jc w:val="both"/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- Wykonanie i odświeżenie przyłączy do urządzeń: woda zimna, woda uzdatniona, kanalizacja, elektryka, sprężone powietrze. Przygotowanie drogi transportowej oraz zmiany budowlane w miejscu instalacji dostosowanie otworów w ścianach, skucie części postumentu, wymiana drzwi wejściowych do sterylizacji. Poprowadzenie instalacji wody uzdatnionej do </w:t>
      </w:r>
      <w:r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sterylizatorów, poprowadzenie dodatkowych przewodów elektrycznych do sterylizatorów </w:t>
      </w:r>
      <w:r w:rsidR="00CE1814">
        <w:rPr>
          <w:rFonts w:ascii="Tahoma" w:eastAsia="Times New Roman" w:hAnsi="Tahoma" w:cs="Tahoma"/>
          <w:sz w:val="20"/>
          <w:szCs w:val="20"/>
          <w:lang w:eastAsia="pl-PL"/>
        </w:rPr>
        <w:br/>
      </w:r>
      <w:r>
        <w:rPr>
          <w:rFonts w:ascii="Tahoma" w:eastAsia="Times New Roman" w:hAnsi="Tahoma" w:cs="Tahoma"/>
          <w:sz w:val="20"/>
          <w:szCs w:val="20"/>
          <w:lang w:eastAsia="pl-PL"/>
        </w:rPr>
        <w:t>i myjni dezynfektorów.</w:t>
      </w:r>
    </w:p>
    <w:p w:rsidR="00D130DC" w:rsidRDefault="006D362C" w:rsidP="00BF5F29">
      <w:pPr>
        <w:numPr>
          <w:ilvl w:val="0"/>
          <w:numId w:val="1"/>
        </w:numPr>
        <w:jc w:val="both"/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Stacja uzdatniania wody –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należy dobrać i zamontować stacje uzdatniania wody, która wyprodukuje wodę zabezpieczającą pracę 3 sterylizatorów i dwóch myjni jednocześnie. Stacja zasilana z wody wodociągowej. Układ automatyki sterujący stacją powinien zapewniać nadzór i wymaganych parametrów wody. </w:t>
      </w:r>
    </w:p>
    <w:p w:rsidR="00D130DC" w:rsidRDefault="006D362C" w:rsidP="00BF5F29">
      <w:pPr>
        <w:numPr>
          <w:ilvl w:val="0"/>
          <w:numId w:val="1"/>
        </w:numPr>
        <w:jc w:val="both"/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Szkolenie personelu medycznego w zakresie obsługi oraz szkolenie osób będących pracownikami Działu Technicznego w zakresie obsługi serwisowej do wykonywania drobnych napraw i przeglądów technicznych dostarczonych urządzeń potwierdzone certyfikatami. </w:t>
      </w:r>
    </w:p>
    <w:p w:rsidR="00D130DC" w:rsidRDefault="006D362C" w:rsidP="00BF5F29">
      <w:pPr>
        <w:numPr>
          <w:ilvl w:val="0"/>
          <w:numId w:val="1"/>
        </w:numPr>
        <w:jc w:val="both"/>
      </w:pPr>
      <w:r>
        <w:rPr>
          <w:rFonts w:ascii="Tahoma" w:eastAsia="Calibri" w:hAnsi="Tahoma" w:cs="Tahoma"/>
          <w:sz w:val="20"/>
          <w:szCs w:val="20"/>
        </w:rPr>
        <w:t xml:space="preserve">Dokumentacja techniczna ruchowa – Wykonawca uzgodni z Urzędem Dozoru Technicznego dokumentację montażowo-rejestracyjną. </w:t>
      </w:r>
    </w:p>
    <w:p w:rsidR="00D130DC" w:rsidRDefault="006D362C" w:rsidP="00BF5F29">
      <w:pPr>
        <w:numPr>
          <w:ilvl w:val="0"/>
          <w:numId w:val="1"/>
        </w:numPr>
        <w:jc w:val="both"/>
      </w:pPr>
      <w:r>
        <w:rPr>
          <w:rFonts w:ascii="Tahoma" w:eastAsia="Calibri" w:hAnsi="Tahoma" w:cs="Tahoma"/>
          <w:sz w:val="20"/>
          <w:szCs w:val="20"/>
        </w:rPr>
        <w:t xml:space="preserve">Wykonawca zleca odbiór sterylizatorów przez Urząd Dozoru Technicznego. Koszt tego odbioru ponosi Wykonawca. </w:t>
      </w:r>
    </w:p>
    <w:p w:rsidR="00D130DC" w:rsidRDefault="006D362C" w:rsidP="00BF5F29">
      <w:pPr>
        <w:numPr>
          <w:ilvl w:val="0"/>
          <w:numId w:val="1"/>
        </w:numPr>
        <w:jc w:val="both"/>
      </w:pPr>
      <w:r>
        <w:rPr>
          <w:rFonts w:ascii="Tahoma" w:eastAsia="Calibri" w:hAnsi="Tahoma" w:cs="Tahoma"/>
          <w:sz w:val="20"/>
          <w:szCs w:val="20"/>
        </w:rPr>
        <w:t xml:space="preserve">Wykonanie dokumentacji wraz z uzgodnieniami w Urzędzie Dozoru Technicznego musi być wliczone w cenę oferty.  </w:t>
      </w:r>
    </w:p>
    <w:p w:rsidR="00D130DC" w:rsidRDefault="00D130DC" w:rsidP="00BF5F29">
      <w:pPr>
        <w:jc w:val="both"/>
        <w:rPr>
          <w:rFonts w:ascii="Palatino Linotype" w:eastAsia="Arial" w:hAnsi="Palatino Linotype" w:cs="Arial"/>
          <w:color w:val="000000"/>
          <w:sz w:val="24"/>
          <w:szCs w:val="24"/>
          <w:highlight w:val="white"/>
          <w:lang w:eastAsia="zh-CN" w:bidi="hi-IN"/>
        </w:rPr>
      </w:pPr>
    </w:p>
    <w:p w:rsidR="00D130DC" w:rsidRDefault="00D130DC" w:rsidP="00BF5F29">
      <w:pPr>
        <w:jc w:val="both"/>
        <w:rPr>
          <w:rFonts w:ascii="Palatino Linotype" w:eastAsia="Arial" w:hAnsi="Palatino Linotype" w:cs="Arial"/>
          <w:color w:val="000000"/>
          <w:sz w:val="24"/>
          <w:szCs w:val="24"/>
          <w:highlight w:val="white"/>
          <w:lang w:eastAsia="zh-CN" w:bidi="hi-IN"/>
        </w:rPr>
      </w:pPr>
      <w:bookmarkStart w:id="0" w:name="_GoBack"/>
      <w:bookmarkEnd w:id="0"/>
    </w:p>
    <w:p w:rsidR="00D130DC" w:rsidRDefault="00D130DC" w:rsidP="00BF5F29">
      <w:pPr>
        <w:jc w:val="both"/>
        <w:rPr>
          <w:rFonts w:ascii="Palatino Linotype" w:eastAsia="Arial" w:hAnsi="Palatino Linotype" w:cs="Arial"/>
          <w:color w:val="000000"/>
          <w:sz w:val="24"/>
          <w:szCs w:val="24"/>
          <w:highlight w:val="white"/>
          <w:lang w:eastAsia="zh-CN" w:bidi="hi-IN"/>
        </w:rPr>
      </w:pPr>
    </w:p>
    <w:p w:rsidR="00D130DC" w:rsidRDefault="00D130DC" w:rsidP="00BF5F29">
      <w:pPr>
        <w:jc w:val="both"/>
        <w:rPr>
          <w:rFonts w:ascii="Palatino Linotype" w:eastAsia="Arial" w:hAnsi="Palatino Linotype" w:cs="Arial"/>
          <w:color w:val="000000"/>
          <w:sz w:val="24"/>
          <w:szCs w:val="24"/>
          <w:highlight w:val="white"/>
          <w:lang w:eastAsia="zh-CN" w:bidi="hi-IN"/>
        </w:rPr>
      </w:pPr>
    </w:p>
    <w:p w:rsidR="00D130DC" w:rsidRDefault="00D130DC">
      <w:pPr>
        <w:spacing w:after="0" w:line="360" w:lineRule="auto"/>
        <w:jc w:val="right"/>
      </w:pPr>
    </w:p>
    <w:sectPr w:rsidR="00D130DC">
      <w:headerReference w:type="default" r:id="rId9"/>
      <w:footerReference w:type="default" r:id="rId10"/>
      <w:pgSz w:w="11906" w:h="16838"/>
      <w:pgMar w:top="1417" w:right="1417" w:bottom="1417" w:left="1417" w:header="0" w:footer="283" w:gutter="0"/>
      <w:cols w:space="708"/>
      <w:formProt w:val="0"/>
      <w:docGrid w:linePitch="36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782" w:rsidRDefault="00C25782">
      <w:pPr>
        <w:spacing w:after="0" w:line="240" w:lineRule="auto"/>
      </w:pPr>
      <w:r>
        <w:separator/>
      </w:r>
    </w:p>
  </w:endnote>
  <w:endnote w:type="continuationSeparator" w:id="0">
    <w:p w:rsidR="00C25782" w:rsidRDefault="00C25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9437973"/>
      <w:docPartObj>
        <w:docPartGallery w:val="Page Numbers (Bottom of Page)"/>
        <w:docPartUnique/>
      </w:docPartObj>
    </w:sdtPr>
    <w:sdtEndPr/>
    <w:sdtContent>
      <w:p w:rsidR="00D130DC" w:rsidRDefault="006D362C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CE1814">
          <w:rPr>
            <w:noProof/>
          </w:rPr>
          <w:t>2</w:t>
        </w:r>
        <w:r>
          <w:fldChar w:fldCharType="end"/>
        </w:r>
      </w:p>
    </w:sdtContent>
  </w:sdt>
  <w:p w:rsidR="00D130DC" w:rsidRDefault="00D130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782" w:rsidRDefault="00C25782">
      <w:pPr>
        <w:spacing w:after="0" w:line="240" w:lineRule="auto"/>
      </w:pPr>
      <w:r>
        <w:separator/>
      </w:r>
    </w:p>
  </w:footnote>
  <w:footnote w:type="continuationSeparator" w:id="0">
    <w:p w:rsidR="00C25782" w:rsidRDefault="00C25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0DC" w:rsidRDefault="006D362C">
    <w:pPr>
      <w:pStyle w:val="Nagwek"/>
    </w:pPr>
    <w:r>
      <w:rPr>
        <w:lang w:eastAsia="pl-PL"/>
      </w:rPr>
      <w:t xml:space="preserve">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5767070" cy="73787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7070" cy="737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4F91"/>
    <w:multiLevelType w:val="multilevel"/>
    <w:tmpl w:val="63B0E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9814AF1"/>
    <w:multiLevelType w:val="multilevel"/>
    <w:tmpl w:val="69149D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0DC"/>
    <w:rsid w:val="002559EA"/>
    <w:rsid w:val="005544A7"/>
    <w:rsid w:val="006D362C"/>
    <w:rsid w:val="00BF5F29"/>
    <w:rsid w:val="00C25782"/>
    <w:rsid w:val="00CE1814"/>
    <w:rsid w:val="00D130DC"/>
    <w:rsid w:val="00E5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paragraph" w:styleId="Nagwek1">
    <w:name w:val="heading 1"/>
    <w:basedOn w:val="Normalny"/>
    <w:link w:val="Nagwek1Znak"/>
    <w:uiPriority w:val="9"/>
    <w:qFormat/>
    <w:rsid w:val="00F667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205E99"/>
    <w:rPr>
      <w:color w:val="0563C1" w:themeColor="hyperlink"/>
      <w:u w:val="single"/>
    </w:rPr>
  </w:style>
  <w:style w:type="character" w:styleId="Pogrubienie">
    <w:name w:val="Strong"/>
    <w:uiPriority w:val="22"/>
    <w:qFormat/>
    <w:rsid w:val="00F667CD"/>
    <w:rPr>
      <w:b/>
      <w:bCs/>
    </w:rPr>
  </w:style>
  <w:style w:type="character" w:customStyle="1" w:styleId="Nagwek1Znak">
    <w:name w:val="Nagłówek 1 Znak"/>
    <w:basedOn w:val="Domylnaczcionkaakapitu"/>
    <w:link w:val="Nagwek1"/>
    <w:qFormat/>
    <w:rsid w:val="00F667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71BEC"/>
  </w:style>
  <w:style w:type="character" w:customStyle="1" w:styleId="StopkaZnak">
    <w:name w:val="Stopka Znak"/>
    <w:basedOn w:val="Domylnaczcionkaakapitu"/>
    <w:link w:val="Stopka"/>
    <w:uiPriority w:val="99"/>
    <w:qFormat/>
    <w:rsid w:val="00271BE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B127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71BE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4429FF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qFormat/>
    <w:rsid w:val="00F667CD"/>
    <w:pPr>
      <w:spacing w:before="240" w:after="24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71BE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B127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ny"/>
    <w:uiPriority w:val="99"/>
    <w:qFormat/>
    <w:rsid w:val="009B13E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pl-PL"/>
    </w:rPr>
  </w:style>
  <w:style w:type="table" w:styleId="Tabela-Siatka">
    <w:name w:val="Table Grid"/>
    <w:basedOn w:val="Standardowy"/>
    <w:uiPriority w:val="39"/>
    <w:rsid w:val="00C60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paragraph" w:styleId="Nagwek1">
    <w:name w:val="heading 1"/>
    <w:basedOn w:val="Normalny"/>
    <w:link w:val="Nagwek1Znak"/>
    <w:uiPriority w:val="9"/>
    <w:qFormat/>
    <w:rsid w:val="00F667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205E99"/>
    <w:rPr>
      <w:color w:val="0563C1" w:themeColor="hyperlink"/>
      <w:u w:val="single"/>
    </w:rPr>
  </w:style>
  <w:style w:type="character" w:styleId="Pogrubienie">
    <w:name w:val="Strong"/>
    <w:uiPriority w:val="22"/>
    <w:qFormat/>
    <w:rsid w:val="00F667CD"/>
    <w:rPr>
      <w:b/>
      <w:bCs/>
    </w:rPr>
  </w:style>
  <w:style w:type="character" w:customStyle="1" w:styleId="Nagwek1Znak">
    <w:name w:val="Nagłówek 1 Znak"/>
    <w:basedOn w:val="Domylnaczcionkaakapitu"/>
    <w:link w:val="Nagwek1"/>
    <w:qFormat/>
    <w:rsid w:val="00F667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71BEC"/>
  </w:style>
  <w:style w:type="character" w:customStyle="1" w:styleId="StopkaZnak">
    <w:name w:val="Stopka Znak"/>
    <w:basedOn w:val="Domylnaczcionkaakapitu"/>
    <w:link w:val="Stopka"/>
    <w:uiPriority w:val="99"/>
    <w:qFormat/>
    <w:rsid w:val="00271BE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B127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71BE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4429FF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qFormat/>
    <w:rsid w:val="00F667CD"/>
    <w:pPr>
      <w:spacing w:before="240" w:after="24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71BE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B127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ny"/>
    <w:uiPriority w:val="99"/>
    <w:qFormat/>
    <w:rsid w:val="009B13E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pl-PL"/>
    </w:rPr>
  </w:style>
  <w:style w:type="table" w:styleId="Tabela-Siatka">
    <w:name w:val="Table Grid"/>
    <w:basedOn w:val="Standardowy"/>
    <w:uiPriority w:val="39"/>
    <w:rsid w:val="00C60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DE6B0-DE8D-419D-893F-60C5FDFAB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508</Words>
  <Characters>3051</Characters>
  <Application>Microsoft Office Word</Application>
  <DocSecurity>0</DocSecurity>
  <Lines>25</Lines>
  <Paragraphs>7</Paragraphs>
  <ScaleCrop>false</ScaleCrop>
  <Company>Microsoft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Osmola</dc:creator>
  <dc:description/>
  <cp:lastModifiedBy>mromanowska</cp:lastModifiedBy>
  <cp:revision>23</cp:revision>
  <cp:lastPrinted>2019-02-27T11:48:00Z</cp:lastPrinted>
  <dcterms:created xsi:type="dcterms:W3CDTF">2019-08-07T13:33:00Z</dcterms:created>
  <dcterms:modified xsi:type="dcterms:W3CDTF">2021-07-09T08:37:00Z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