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BB5A" w14:textId="6D15AFA6" w:rsidR="006A5DF1" w:rsidRPr="00E935D6" w:rsidRDefault="00AD758B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AD758B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AD758B">
        <w:rPr>
          <w:rFonts w:ascii="Arial" w:hAnsi="Arial" w:cs="Arial"/>
          <w:sz w:val="24"/>
          <w:szCs w:val="24"/>
        </w:rPr>
        <w:t>2022-05-2</w:t>
      </w:r>
      <w:r w:rsidR="00900597">
        <w:rPr>
          <w:rFonts w:ascii="Arial" w:hAnsi="Arial" w:cs="Arial"/>
          <w:sz w:val="24"/>
          <w:szCs w:val="24"/>
        </w:rPr>
        <w:t>4</w:t>
      </w:r>
    </w:p>
    <w:p w14:paraId="0332F455" w14:textId="77777777" w:rsidR="006A5DF1" w:rsidRPr="00E935D6" w:rsidRDefault="00AD758B" w:rsidP="006A5DF1">
      <w:pPr>
        <w:rPr>
          <w:rFonts w:ascii="Arial" w:hAnsi="Arial" w:cs="Arial"/>
          <w:b/>
          <w:bCs/>
          <w:sz w:val="24"/>
          <w:szCs w:val="24"/>
        </w:rPr>
      </w:pPr>
      <w:r w:rsidRPr="00AD758B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54D405BE" w14:textId="77777777" w:rsidR="006A5DF1" w:rsidRPr="00E935D6" w:rsidRDefault="00AD758B" w:rsidP="006A5DF1">
      <w:pPr>
        <w:rPr>
          <w:rFonts w:ascii="Arial" w:hAnsi="Arial" w:cs="Arial"/>
          <w:sz w:val="24"/>
          <w:szCs w:val="24"/>
        </w:rPr>
      </w:pPr>
      <w:r w:rsidRPr="00AD758B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AD758B">
        <w:rPr>
          <w:rFonts w:ascii="Arial" w:hAnsi="Arial" w:cs="Arial"/>
          <w:sz w:val="24"/>
          <w:szCs w:val="24"/>
        </w:rPr>
        <w:t>16</w:t>
      </w:r>
    </w:p>
    <w:p w14:paraId="641ED8BE" w14:textId="6EE1E74E" w:rsidR="006A5DF1" w:rsidRPr="00E935D6" w:rsidRDefault="00AD758B" w:rsidP="00AD758B">
      <w:pPr>
        <w:rPr>
          <w:rFonts w:ascii="Arial" w:hAnsi="Arial" w:cs="Arial"/>
          <w:sz w:val="24"/>
          <w:szCs w:val="24"/>
        </w:rPr>
      </w:pPr>
      <w:r w:rsidRPr="00AD758B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AD758B">
        <w:rPr>
          <w:rFonts w:ascii="Arial" w:hAnsi="Arial" w:cs="Arial"/>
          <w:sz w:val="24"/>
          <w:szCs w:val="24"/>
        </w:rPr>
        <w:t>Ostrów Wielkopols</w:t>
      </w:r>
      <w:r>
        <w:rPr>
          <w:rFonts w:ascii="Arial" w:hAnsi="Arial" w:cs="Arial"/>
          <w:sz w:val="24"/>
          <w:szCs w:val="24"/>
        </w:rPr>
        <w:t>ki</w:t>
      </w:r>
      <w:r w:rsidR="006A5DF1" w:rsidRPr="00E935D6">
        <w:rPr>
          <w:rFonts w:ascii="Arial" w:hAnsi="Arial" w:cs="Arial"/>
          <w:sz w:val="24"/>
          <w:szCs w:val="24"/>
        </w:rPr>
        <w:tab/>
        <w:t xml:space="preserve"> </w:t>
      </w:r>
    </w:p>
    <w:p w14:paraId="0E6DDD4C" w14:textId="77777777" w:rsidR="006A5DF1" w:rsidRPr="00E935D6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7CF7225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5C5ABE7F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6B755A96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0210DD4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5F1C2FB1" w14:textId="03859454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AD758B">
        <w:rPr>
          <w:rFonts w:ascii="Arial" w:hAnsi="Arial" w:cs="Arial"/>
          <w:sz w:val="24"/>
          <w:szCs w:val="24"/>
        </w:rPr>
        <w:br/>
      </w:r>
      <w:r w:rsidRPr="00E935D6">
        <w:rPr>
          <w:rFonts w:ascii="Arial" w:hAnsi="Arial" w:cs="Arial"/>
          <w:sz w:val="24"/>
          <w:szCs w:val="24"/>
        </w:rPr>
        <w:t>w trybi</w:t>
      </w:r>
      <w:r w:rsidR="00AD758B">
        <w:rPr>
          <w:rFonts w:ascii="Arial" w:hAnsi="Arial" w:cs="Arial"/>
          <w:sz w:val="24"/>
          <w:szCs w:val="24"/>
        </w:rPr>
        <w:t xml:space="preserve">e podstawowym bez negocjacji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AD758B" w:rsidRPr="00AD758B">
        <w:rPr>
          <w:rFonts w:ascii="Arial" w:hAnsi="Arial" w:cs="Arial"/>
          <w:b/>
          <w:bCs/>
          <w:sz w:val="24"/>
          <w:szCs w:val="24"/>
        </w:rPr>
        <w:t xml:space="preserve">Świadczenie usług pocztowych </w:t>
      </w:r>
      <w:r w:rsidR="00AD758B">
        <w:rPr>
          <w:rFonts w:ascii="Arial" w:hAnsi="Arial" w:cs="Arial"/>
          <w:b/>
          <w:bCs/>
          <w:sz w:val="24"/>
          <w:szCs w:val="24"/>
        </w:rPr>
        <w:br/>
      </w:r>
      <w:r w:rsidR="00AD758B" w:rsidRPr="00AD758B">
        <w:rPr>
          <w:rFonts w:ascii="Arial" w:hAnsi="Arial" w:cs="Arial"/>
          <w:b/>
          <w:bCs/>
          <w:sz w:val="24"/>
          <w:szCs w:val="24"/>
        </w:rPr>
        <w:t>w obrocie krajowym i zagranicz</w:t>
      </w:r>
      <w:r w:rsidR="00AD758B">
        <w:rPr>
          <w:rFonts w:ascii="Arial" w:hAnsi="Arial" w:cs="Arial"/>
          <w:b/>
          <w:bCs/>
          <w:sz w:val="24"/>
          <w:szCs w:val="24"/>
        </w:rPr>
        <w:t>n</w:t>
      </w:r>
      <w:r w:rsidR="00AD758B" w:rsidRPr="00AD758B">
        <w:rPr>
          <w:rFonts w:ascii="Arial" w:hAnsi="Arial" w:cs="Arial"/>
          <w:b/>
          <w:bCs/>
          <w:sz w:val="24"/>
          <w:szCs w:val="24"/>
        </w:rPr>
        <w:t>ym w zakresie przyjmowania, pr</w:t>
      </w:r>
      <w:r w:rsidR="00AD758B">
        <w:rPr>
          <w:rFonts w:ascii="Arial" w:hAnsi="Arial" w:cs="Arial"/>
          <w:b/>
          <w:bCs/>
          <w:sz w:val="24"/>
          <w:szCs w:val="24"/>
        </w:rPr>
        <w:t>z</w:t>
      </w:r>
      <w:r w:rsidR="00AD758B" w:rsidRPr="00AD758B">
        <w:rPr>
          <w:rFonts w:ascii="Arial" w:hAnsi="Arial" w:cs="Arial"/>
          <w:b/>
          <w:bCs/>
          <w:sz w:val="24"/>
          <w:szCs w:val="24"/>
        </w:rPr>
        <w:t>emieszczania i doręczania przesyłek pocztowych oraz ich ewentualnych zwrotów na potrzeby Starostwa Powiatowego w Ostrowie Wielkopolskim oraz Powiatowego Zespołu ds. Orzekania o Niepełnosprawności w Ostrowie Wielkopolskim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 znak sprawy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AD758B" w:rsidRPr="00AD758B">
        <w:rPr>
          <w:rFonts w:ascii="Arial" w:hAnsi="Arial" w:cs="Arial"/>
          <w:b/>
          <w:sz w:val="24"/>
          <w:szCs w:val="24"/>
        </w:rPr>
        <w:t>RPZ.272.14.2022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575E838C" w14:textId="56C59FC9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AD758B" w:rsidRPr="00AD758B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AD758B" w:rsidRPr="00AD758B">
        <w:rPr>
          <w:rFonts w:ascii="Arial" w:hAnsi="Arial" w:cs="Arial"/>
          <w:sz w:val="24"/>
          <w:szCs w:val="24"/>
        </w:rPr>
        <w:t>(t.j. Dz.U. z 2021r. poz. 1129</w:t>
      </w:r>
      <w:r w:rsidR="00AD758B">
        <w:rPr>
          <w:rFonts w:ascii="Arial" w:hAnsi="Arial" w:cs="Arial"/>
          <w:sz w:val="24"/>
          <w:szCs w:val="24"/>
        </w:rPr>
        <w:t xml:space="preserve"> ze zm.</w:t>
      </w:r>
      <w:r w:rsidR="00AD758B" w:rsidRPr="00AD758B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AD758B" w:rsidRPr="00E935D6" w14:paraId="4CC64737" w14:textId="77777777" w:rsidTr="006819DB">
        <w:tc>
          <w:tcPr>
            <w:tcW w:w="9356" w:type="dxa"/>
            <w:shd w:val="clear" w:color="auto" w:fill="auto"/>
          </w:tcPr>
          <w:p w14:paraId="1C171E32" w14:textId="77777777" w:rsidR="00AD758B" w:rsidRPr="009763D7" w:rsidRDefault="00AD758B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63D7">
              <w:rPr>
                <w:rFonts w:ascii="Arial" w:hAnsi="Arial" w:cs="Arial"/>
                <w:b/>
                <w:bCs/>
                <w:sz w:val="22"/>
                <w:szCs w:val="22"/>
              </w:rPr>
              <w:t>Pytanie 1</w:t>
            </w:r>
          </w:p>
          <w:p w14:paraId="36A38977" w14:textId="6D8AE568" w:rsidR="00AD758B" w:rsidRDefault="00AD758B" w:rsidP="00AD758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W nawiązaniu do odpowiedzi na pytanie 4 - biorąc pod uwagę specyfikę działalności Wykonawcy, zakres realizacji</w:t>
            </w:r>
            <w:r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Pr="00AD758B">
              <w:rPr>
                <w:rFonts w:ascii="Arial" w:hAnsi="Arial" w:cs="Arial"/>
                <w:sz w:val="22"/>
                <w:szCs w:val="22"/>
              </w:rPr>
              <w:t>amówienia (kraj i zagranica), ilość zatrudnionych pracowników na poszczególnych stanowiskach odpowiedzialnych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przyjmowania, przemieszczania i doręczania przesyłek, Wykonawca zwraca się ponownie z prośbą o wyrażenie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zgody na wykreślenie pkt 29. ppk 1). W istotnych postanowieniach umowy ograniczając się do Oświadczenia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Wykonawcy o zatrudnieniu osób na podstawie umów o pracę.</w:t>
            </w:r>
          </w:p>
          <w:p w14:paraId="048FBA40" w14:textId="2DE5219F" w:rsidR="009E4D0E" w:rsidRDefault="009E4D0E" w:rsidP="00AD758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Odpowiedź: Zamawiający uwzględnia prośbę Wykonawcy i wykreśla w punkcie 29 Istotnych postanowieniach umowy podpunkt nr 1.</w:t>
            </w:r>
          </w:p>
          <w:p w14:paraId="3ADD6D8D" w14:textId="77777777" w:rsidR="00AD758B" w:rsidRPr="009763D7" w:rsidRDefault="00AD758B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63D7">
              <w:rPr>
                <w:rFonts w:ascii="Arial" w:hAnsi="Arial" w:cs="Arial"/>
                <w:b/>
                <w:bCs/>
                <w:sz w:val="22"/>
                <w:szCs w:val="22"/>
              </w:rPr>
              <w:t>Pytanie 2</w:t>
            </w:r>
          </w:p>
          <w:p w14:paraId="63154E4F" w14:textId="4A479E76" w:rsidR="00AD758B" w:rsidRDefault="00AD758B" w:rsidP="00AD758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W nawiązaniu do odpowiedzi na pytanie 6 oraz mając na uwadze specyfikę, zakres i strukturę działalności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Wykonawcy, zwraca się ponownie z prośbą o wyrażenie zgody na ograniczenie weryfikowanych w zakresie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zatrudnienia informacji do maksymalnie 5 osób.</w:t>
            </w:r>
          </w:p>
          <w:p w14:paraId="00F3A6BC" w14:textId="5F37C388" w:rsidR="009E4D0E" w:rsidRDefault="009E4D0E" w:rsidP="009E4D0E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Odpowiedź: Zamawiający uwzględnia prośbę Wykonawcy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w punkcie 29 Istotnych postanowie</w:t>
            </w:r>
            <w:r>
              <w:rPr>
                <w:rFonts w:ascii="Arial" w:hAnsi="Arial" w:cs="Arial"/>
                <w:sz w:val="22"/>
                <w:szCs w:val="22"/>
              </w:rPr>
              <w:t>ń</w:t>
            </w:r>
            <w:r>
              <w:rPr>
                <w:rFonts w:ascii="Arial" w:hAnsi="Arial" w:cs="Arial"/>
                <w:sz w:val="22"/>
                <w:szCs w:val="22"/>
              </w:rPr>
              <w:t xml:space="preserve"> umowy </w:t>
            </w:r>
            <w:r>
              <w:rPr>
                <w:rFonts w:ascii="Arial" w:hAnsi="Arial" w:cs="Arial"/>
                <w:sz w:val="22"/>
                <w:szCs w:val="22"/>
              </w:rPr>
              <w:t>doprecyzowuje zapisy mówiące o weryfikowaniu informacji o zatrudnieniu do maksymalnie 5 osób.</w:t>
            </w:r>
          </w:p>
          <w:p w14:paraId="3896FC92" w14:textId="77777777" w:rsidR="009E4D0E" w:rsidRPr="00AD758B" w:rsidRDefault="009E4D0E" w:rsidP="00AD758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4855B5" w14:textId="77777777" w:rsidR="006476A2" w:rsidRDefault="006476A2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796C76" w14:textId="77777777" w:rsidR="006476A2" w:rsidRDefault="006476A2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18E4CF" w14:textId="200CB49B" w:rsidR="00AD758B" w:rsidRPr="009763D7" w:rsidRDefault="00AD758B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63D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Pytanie 3</w:t>
            </w:r>
          </w:p>
          <w:p w14:paraId="6D987C92" w14:textId="1FEF98DA" w:rsidR="00AD758B" w:rsidRPr="00AD758B" w:rsidRDefault="00AD758B" w:rsidP="00AD758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W nawiązaniu do odpowiedzi na pytanie 9 – Wykonawca zwraca się ponownie z prośbą o wykreślenie pkt 34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w istotnych postanowieniach umowy.</w:t>
            </w:r>
          </w:p>
          <w:p w14:paraId="302C06A8" w14:textId="74929DC1" w:rsidR="00AD758B" w:rsidRPr="00AD758B" w:rsidRDefault="00AD758B" w:rsidP="00AD758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Przedmiote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AD758B">
              <w:rPr>
                <w:rFonts w:ascii="Arial" w:hAnsi="Arial" w:cs="Arial"/>
                <w:sz w:val="22"/>
                <w:szCs w:val="22"/>
              </w:rPr>
              <w:t xml:space="preserve"> zamówienia jest świadczenie usług pocztowych, a tym samym nie jest zlecenie wykonywania zadania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publicznego organu jednostki samorządu terytorialnego. Katalog zadań org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anu samorządu powiatowego określa art.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ust. 1 ustawy z dnia 5 czerwca 1998 r. o samorządzie powiatowym. Świadczenie usług pocztowych nie jest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zadaniem publicznym w rozumieniu wskazanych przepisów – w wyliczeniu nie znajdujemy tego typu usług. Wymogi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w zakresie zlecania wykonywania zadań publicznych nie dotyczą tym samym postępowań w zakresie świadczenia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usług pocztowych. Wymogi w tym zakresie nie mogą być wskazywane przez jednostki samorządu terytorialnego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jako warunek przystąpienia do postępowania, gdyż wykonawca, będący operatorem pocztowym nie wykonuje zadań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publicznych jednostek samorządu terytorialnego. Oczywiście hipotetycznie istnieje możliwość zlecenia wykonania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własnego zadania publicznego operatorowi pocztowemu, ale w tym przypadku przedmiot ogłoszonego postępowania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nie wskazuje na żadne z zadań wymienionych w wyliczeniu ustawowym. Powyższe oznacza, że wymogi w zakresie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elektromobilności, stawiane przed organami jednostek samorządu terytorialnego w art. 35 ust. 2-4 oraz art. 68 ust.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3 ustawy, w brzmieniu nadanym ustawą z dnia 2 grudnia 2021 r. o zmianie ustawy o elektromobilności i paliwach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alternatywnych oraz niektórych innych ustaw (Dz.U. z 2021 roku, poz. 2269) dotyczą realizacji i zlecania wykonania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zadań publicznych, wśród których nie ma świadczenia usług pocztowych, będących przedmiotem niniejszego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postępowania.</w:t>
            </w:r>
          </w:p>
          <w:p w14:paraId="4F61C0C6" w14:textId="6E10EB9F" w:rsidR="00AD758B" w:rsidRPr="00AD758B" w:rsidRDefault="00AD758B" w:rsidP="00AD758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Jednocześnie Wykonawca zwraca uwagę, że art. 68b ustawy, w brzmieniu nadanym ustawą z dnia 2 grudnia 2021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r. o zmianie ustawy o elektromobilności i paliwach alternatywnych oraz niektórych innych ustaw (Dz.U. z 2021 roku,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poz. 2269) określił wymagania w zakresie elektromobilności, które powinien stawiać każdy zamawiający publiczny 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sektorowy. Warunkiem określenia tych wymogów – w przypadku postępowania o świadczenie usług pocztowych 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jest spełnienie łącznie wszystkich ustawowych przesłanek, tj.: (a) do zamówienia mają zastosowanie przepisy ustawy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Prawo zamówień publicznych, (b) wartość zamówienia jest równa lub przekraczająca progi unijne (tzw. zamówienie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unijne, opublikowane w Dzienniku Urzędowym Unii Europejskiej), (c) przedmiotem zamówienia są usługi, (d) usługi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będące przedmiotem zamówienia są oznaczone ściśle określonymi kodami Wspólnego Słownika Zamówień (CPV)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– katalog jest zamknięty i nie może być rozszerzany na inne kody CPV:</w:t>
            </w:r>
          </w:p>
          <w:p w14:paraId="742D47CA" w14:textId="77777777" w:rsidR="00AD758B" w:rsidRPr="00AD758B" w:rsidRDefault="00AD758B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- CPV 60112000-6, w zakresie publicznego transportu drogowego,</w:t>
            </w:r>
          </w:p>
          <w:p w14:paraId="082804C0" w14:textId="77777777" w:rsidR="00AD758B" w:rsidRPr="00AD758B" w:rsidRDefault="00AD758B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- CPV 60130000-8, w zakresie specjalistycznego transportu drogowego osób,</w:t>
            </w:r>
          </w:p>
          <w:p w14:paraId="024AF0AD" w14:textId="77777777" w:rsidR="00AD758B" w:rsidRPr="00AD758B" w:rsidRDefault="00AD758B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- CPV 60140000-1, nieregularny transport osób,</w:t>
            </w:r>
          </w:p>
          <w:p w14:paraId="0FFFD5CC" w14:textId="77777777" w:rsidR="00AD758B" w:rsidRPr="00AD758B" w:rsidRDefault="00AD758B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- CPV 90511000-2, wywóz odpadów,</w:t>
            </w:r>
          </w:p>
          <w:p w14:paraId="64B9A862" w14:textId="77777777" w:rsidR="00AD758B" w:rsidRPr="00AD758B" w:rsidRDefault="00AD758B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- CPV 60160000-7, drogowy transport przesyłek pocztowych,</w:t>
            </w:r>
          </w:p>
          <w:p w14:paraId="417DAE10" w14:textId="77777777" w:rsidR="00AD758B" w:rsidRPr="00AD758B" w:rsidRDefault="00AD758B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- CPV 60161000-4, w zakresie transportu paczek,</w:t>
            </w:r>
          </w:p>
          <w:p w14:paraId="0D8B7C53" w14:textId="77777777" w:rsidR="00AD758B" w:rsidRPr="00AD758B" w:rsidRDefault="00AD758B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- CPV 64121100-1, dostarczanie poczty,</w:t>
            </w:r>
          </w:p>
          <w:p w14:paraId="3B2D2DD5" w14:textId="77777777" w:rsidR="00AD758B" w:rsidRPr="00AD758B" w:rsidRDefault="00AD758B" w:rsidP="006819D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- CPV 64121200-2, dostarczanie paczek.</w:t>
            </w:r>
          </w:p>
          <w:p w14:paraId="7FFDE1E8" w14:textId="66BA8743" w:rsidR="00AD758B" w:rsidRPr="00AD758B" w:rsidRDefault="00AD758B" w:rsidP="00AD758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Jeżeli nie występuje którykolwiek z wymienionych warunków – wymogi w zakresie elektromobilności nie muszą być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postawione.</w:t>
            </w:r>
          </w:p>
          <w:p w14:paraId="0AE90589" w14:textId="7E95CEA5" w:rsidR="00AD758B" w:rsidRPr="00AD758B" w:rsidRDefault="00AD758B" w:rsidP="00AD758B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Zamawiający określił przedmiot zamówienia w treści SWZ, wskazując Wspólny Słownik Zamówień: 64110000-0 -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Usługi pocztowe, 64112000-4 - Usługi pocztowe dotyczące listów. Jednocześnie wskazał, że wartość szacunkowa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zamówienia jest niższa od progów unijnych określonych na podstawie art. 3 ustawy Pzp. W związku z brakiem Strona 3 z 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spełnienia warunku co do przedmiotu zamówienia (wskazane przez Zamawiającego CPV nie zostały wskazane 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 xml:space="preserve">treści art. 68b) oraz w związku z wartością zamówienia (niniejsze zamówienie </w:t>
            </w:r>
            <w:r w:rsidRPr="00AD758B">
              <w:rPr>
                <w:rFonts w:ascii="Arial" w:hAnsi="Arial" w:cs="Arial"/>
                <w:sz w:val="22"/>
                <w:szCs w:val="22"/>
              </w:rPr>
              <w:lastRenderedPageBreak/>
              <w:t>dotyczy postępowania o wartości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nieprzekraczającej progów unijnych) wykonawca wnioskuje o wykreślenie postanowienia umownego o treści: 34.</w:t>
            </w:r>
          </w:p>
          <w:p w14:paraId="0276972B" w14:textId="139DC61A" w:rsidR="00AD758B" w:rsidRPr="00E935D6" w:rsidRDefault="00AD758B" w:rsidP="006476A2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58B">
              <w:rPr>
                <w:rFonts w:ascii="Arial" w:hAnsi="Arial" w:cs="Arial"/>
                <w:sz w:val="22"/>
                <w:szCs w:val="22"/>
              </w:rPr>
              <w:t>Wykonawca oświadcza, że w przypadku skierowania do realizacji zadania od 5 do 14 pojazdów samochodowych</w:t>
            </w:r>
            <w:r w:rsidR="009763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jeden z nich będzie pojazdem elektrycznym lub pojazdem napędzanym gazem ziemnym; w przypadku skierowania</w:t>
            </w:r>
            <w:r w:rsidR="006476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do realizacji zadania od 15 do 24 pojazdów - liczba pojazdów elektrycznych lub napędzanych gazem ziemnym</w:t>
            </w:r>
            <w:r w:rsidR="009763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wynosi 2. Wskaźnik udziału pojazdów niskoemisyjnych został zawarty w art. 36a Ustawy o elektromobilności i</w:t>
            </w:r>
            <w:r w:rsidR="009763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paliwach alternatywnych (Dz.U. z 2021 r. poz. 110 z późn. zm.), natomiast za pojazd samochodowy należy uznać</w:t>
            </w:r>
            <w:r w:rsidR="009763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taki, o którym mowa w art. 2 pkt 33 ustawy z dnia 20 czerwca 1997 r. - Prawo o ruchu drogowym (Dz.U. z 2021 r.</w:t>
            </w:r>
            <w:r w:rsidR="009763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58B">
              <w:rPr>
                <w:rFonts w:ascii="Arial" w:hAnsi="Arial" w:cs="Arial"/>
                <w:sz w:val="22"/>
                <w:szCs w:val="22"/>
              </w:rPr>
              <w:t>poz. 450 z późn. zm.), ze względu na jego niezgodność z przepisami powszechnie obowiązującymi.</w:t>
            </w:r>
          </w:p>
          <w:p w14:paraId="707ED535" w14:textId="6827C02B" w:rsidR="00AD758B" w:rsidRPr="00AD758B" w:rsidRDefault="006476A2" w:rsidP="006819DB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6476A2">
              <w:rPr>
                <w:rFonts w:ascii="Arial" w:hAnsi="Arial" w:cs="Arial"/>
                <w:b/>
                <w:bCs/>
                <w:sz w:val="22"/>
                <w:szCs w:val="22"/>
              </w:rPr>
              <w:t>Odpowiedź:</w:t>
            </w:r>
            <w:r w:rsidRPr="006476A2">
              <w:rPr>
                <w:rFonts w:ascii="Arial" w:hAnsi="Arial" w:cs="Arial"/>
                <w:sz w:val="22"/>
                <w:szCs w:val="22"/>
              </w:rPr>
              <w:t xml:space="preserve"> Zamawiający pozostawia zapisy Istotnych postanowień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 w przytoczonym zakresie</w:t>
            </w:r>
            <w:r w:rsidRPr="006476A2">
              <w:rPr>
                <w:rFonts w:ascii="Arial" w:hAnsi="Arial" w:cs="Arial"/>
                <w:sz w:val="22"/>
                <w:szCs w:val="22"/>
              </w:rPr>
              <w:t xml:space="preserve"> bez zmian.</w:t>
            </w:r>
          </w:p>
        </w:tc>
      </w:tr>
    </w:tbl>
    <w:p w14:paraId="6DA6F7A6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2FAB2117" w14:textId="77777777" w:rsidR="006476A2" w:rsidRDefault="006476A2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2"/>
          <w:szCs w:val="22"/>
        </w:rPr>
      </w:pPr>
    </w:p>
    <w:p w14:paraId="3876AB5D" w14:textId="2E989C26" w:rsidR="006D4AB3" w:rsidRPr="009763D7" w:rsidRDefault="009763D7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2"/>
          <w:szCs w:val="22"/>
        </w:rPr>
      </w:pPr>
      <w:r w:rsidRPr="009763D7">
        <w:rPr>
          <w:rFonts w:ascii="Arial" w:hAnsi="Arial" w:cs="Arial"/>
          <w:sz w:val="22"/>
          <w:szCs w:val="22"/>
        </w:rPr>
        <w:t>/-/ Marcin Woliński</w:t>
      </w:r>
      <w:r w:rsidRPr="009763D7">
        <w:rPr>
          <w:rFonts w:ascii="Arial" w:hAnsi="Arial" w:cs="Arial"/>
          <w:sz w:val="22"/>
          <w:szCs w:val="22"/>
        </w:rPr>
        <w:br/>
        <w:t>Dyrektor Wydziału Rozwoju Powiatu</w:t>
      </w:r>
    </w:p>
    <w:sectPr w:rsidR="006D4AB3" w:rsidRPr="009763D7" w:rsidSect="0012774F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FC45" w14:textId="77777777" w:rsidR="006D26CE" w:rsidRDefault="006D26CE">
      <w:r>
        <w:separator/>
      </w:r>
    </w:p>
  </w:endnote>
  <w:endnote w:type="continuationSeparator" w:id="0">
    <w:p w14:paraId="49B0F493" w14:textId="77777777" w:rsidR="006D26CE" w:rsidRDefault="006D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471C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1DC6D3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5702" w14:textId="77777777" w:rsidR="00AD758B" w:rsidRDefault="00AD758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CD7DA9B" w14:textId="388C81A5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6365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8BE04EA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CCF5C14" w14:textId="77777777" w:rsidR="006D4AB3" w:rsidRDefault="006D4AB3">
    <w:pPr>
      <w:pStyle w:val="Stopka"/>
      <w:tabs>
        <w:tab w:val="clear" w:pos="4536"/>
        <w:tab w:val="left" w:pos="6237"/>
      </w:tabs>
    </w:pPr>
  </w:p>
  <w:p w14:paraId="0A0C214B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A17B" w14:textId="77777777" w:rsidR="006D26CE" w:rsidRDefault="006D26CE">
      <w:r>
        <w:separator/>
      </w:r>
    </w:p>
  </w:footnote>
  <w:footnote w:type="continuationSeparator" w:id="0">
    <w:p w14:paraId="232BD6D2" w14:textId="77777777" w:rsidR="006D26CE" w:rsidRDefault="006D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28121977">
    <w:abstractNumId w:val="3"/>
  </w:num>
  <w:num w:numId="2" w16cid:durableId="914163836">
    <w:abstractNumId w:val="6"/>
  </w:num>
  <w:num w:numId="3" w16cid:durableId="807404772">
    <w:abstractNumId w:val="2"/>
  </w:num>
  <w:num w:numId="4" w16cid:durableId="1091004342">
    <w:abstractNumId w:val="5"/>
  </w:num>
  <w:num w:numId="5" w16cid:durableId="70861006">
    <w:abstractNumId w:val="0"/>
  </w:num>
  <w:num w:numId="6" w16cid:durableId="1340081111">
    <w:abstractNumId w:val="1"/>
  </w:num>
  <w:num w:numId="7" w16cid:durableId="178546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4A"/>
    <w:rsid w:val="00031374"/>
    <w:rsid w:val="000A1097"/>
    <w:rsid w:val="000E2A8F"/>
    <w:rsid w:val="0012774F"/>
    <w:rsid w:val="00144B7A"/>
    <w:rsid w:val="00180C6E"/>
    <w:rsid w:val="00235432"/>
    <w:rsid w:val="0029606A"/>
    <w:rsid w:val="0033224A"/>
    <w:rsid w:val="004848F3"/>
    <w:rsid w:val="004A75F2"/>
    <w:rsid w:val="005144A9"/>
    <w:rsid w:val="00520165"/>
    <w:rsid w:val="005B1B08"/>
    <w:rsid w:val="00632C3C"/>
    <w:rsid w:val="006476A2"/>
    <w:rsid w:val="00662BDB"/>
    <w:rsid w:val="006A5DF1"/>
    <w:rsid w:val="006B7198"/>
    <w:rsid w:val="006D26CE"/>
    <w:rsid w:val="006D4AB3"/>
    <w:rsid w:val="006F3B81"/>
    <w:rsid w:val="007D7198"/>
    <w:rsid w:val="00845E61"/>
    <w:rsid w:val="00864A4B"/>
    <w:rsid w:val="00870F9F"/>
    <w:rsid w:val="008804B6"/>
    <w:rsid w:val="00897AB0"/>
    <w:rsid w:val="008A3553"/>
    <w:rsid w:val="00900597"/>
    <w:rsid w:val="009763D7"/>
    <w:rsid w:val="009E4D0E"/>
    <w:rsid w:val="00A905AC"/>
    <w:rsid w:val="00AD758B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20740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E69576"/>
  <w15:chartTrackingRefBased/>
  <w15:docId w15:val="{9448D0B7-0D3E-46C8-B12C-4D67DF47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AD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3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3</cp:revision>
  <cp:lastPrinted>2001-02-10T14:28:00Z</cp:lastPrinted>
  <dcterms:created xsi:type="dcterms:W3CDTF">2022-05-23T07:49:00Z</dcterms:created>
  <dcterms:modified xsi:type="dcterms:W3CDTF">2022-05-23T09:37:00Z</dcterms:modified>
</cp:coreProperties>
</file>