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578E" w:rsidRDefault="00E93548" w:rsidP="00C840D7">
      <w:pPr>
        <w:spacing w:after="0" w:line="240" w:lineRule="auto"/>
        <w:rPr>
          <w:rFonts w:ascii="Calibri" w:hAnsi="Calibri" w:cs="Calibri"/>
          <w:b/>
        </w:rPr>
      </w:pPr>
      <w:r>
        <w:rPr>
          <w:rFonts w:ascii="Times New Roman" w:hAnsi="Times New Roman" w:cs="Times New Roman"/>
          <w:sz w:val="20"/>
          <w:szCs w:val="20"/>
        </w:rPr>
        <w:t xml:space="preserve"> </w:t>
      </w:r>
      <w:r>
        <w:rPr>
          <w:rFonts w:ascii="Calibri" w:hAnsi="Calibri" w:cs="Calibri"/>
          <w:b/>
        </w:rPr>
        <w:t>Załącznik nr 2</w:t>
      </w:r>
      <w:r w:rsidR="00DB578E" w:rsidRPr="008F3F12">
        <w:rPr>
          <w:rFonts w:ascii="Calibri" w:hAnsi="Calibri" w:cs="Calibri"/>
          <w:b/>
        </w:rPr>
        <w:t xml:space="preserve"> </w:t>
      </w:r>
      <w:r w:rsidR="00DB578E" w:rsidRPr="008F3F12">
        <w:rPr>
          <w:rFonts w:ascii="Calibri" w:hAnsi="Calibri" w:cs="Calibri"/>
        </w:rPr>
        <w:t xml:space="preserve">- </w:t>
      </w:r>
      <w:r w:rsidR="00DB578E" w:rsidRPr="008F3F12">
        <w:rPr>
          <w:rFonts w:ascii="Calibri" w:hAnsi="Calibri" w:cs="Calibri"/>
          <w:b/>
        </w:rPr>
        <w:t xml:space="preserve"> Kosztorys ofertowy </w:t>
      </w:r>
      <w:bookmarkStart w:id="0" w:name="_GoBack"/>
      <w:bookmarkEnd w:id="0"/>
    </w:p>
    <w:p w:rsidR="00887B88" w:rsidRPr="00887B88" w:rsidRDefault="00887B88" w:rsidP="00C840D7">
      <w:pPr>
        <w:spacing w:after="0" w:line="240" w:lineRule="auto"/>
        <w:rPr>
          <w:rFonts w:ascii="Calibri" w:hAnsi="Calibri" w:cs="Calibri"/>
        </w:rPr>
      </w:pPr>
      <w:r>
        <w:rPr>
          <w:rFonts w:ascii="Calibri" w:hAnsi="Calibri" w:cs="Calibri"/>
          <w:b/>
        </w:rPr>
        <w:t>Dreny</w:t>
      </w:r>
      <w:r w:rsidR="00E93548">
        <w:rPr>
          <w:rFonts w:cstheme="minorHAnsi"/>
          <w:b/>
          <w:bCs/>
          <w:color w:val="000000"/>
        </w:rPr>
        <w:t xml:space="preserve"> do przygotowania i podaży leków  </w:t>
      </w:r>
    </w:p>
    <w:tbl>
      <w:tblPr>
        <w:tblW w:w="140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4" w:type="dxa"/>
          <w:right w:w="70" w:type="dxa"/>
        </w:tblCellMar>
        <w:tblLook w:val="0000" w:firstRow="0" w:lastRow="0" w:firstColumn="0" w:lastColumn="0" w:noHBand="0" w:noVBand="0"/>
      </w:tblPr>
      <w:tblGrid>
        <w:gridCol w:w="375"/>
        <w:gridCol w:w="5716"/>
        <w:gridCol w:w="787"/>
        <w:gridCol w:w="993"/>
        <w:gridCol w:w="1275"/>
        <w:gridCol w:w="1418"/>
        <w:gridCol w:w="1559"/>
        <w:gridCol w:w="1946"/>
      </w:tblGrid>
      <w:tr w:rsidR="00DB578E" w:rsidRPr="008F3F12" w:rsidTr="00887B88">
        <w:trPr>
          <w:trHeight w:val="794"/>
        </w:trPr>
        <w:tc>
          <w:tcPr>
            <w:tcW w:w="375" w:type="dxa"/>
            <w:shd w:val="clear" w:color="auto" w:fill="FFFFFF"/>
            <w:vAlign w:val="center"/>
          </w:tcPr>
          <w:p w:rsidR="00DB578E" w:rsidRPr="008F3F12" w:rsidRDefault="00DB578E" w:rsidP="001C58A5">
            <w:pPr>
              <w:spacing w:after="0" w:line="276" w:lineRule="auto"/>
              <w:jc w:val="center"/>
              <w:rPr>
                <w:rFonts w:ascii="Calibri" w:hAnsi="Calibri" w:cs="Calibri"/>
                <w:b/>
                <w:bCs/>
                <w:caps/>
                <w:kern w:val="1"/>
                <w:lang w:eastAsia="ar-SA"/>
              </w:rPr>
            </w:pPr>
            <w:r w:rsidRPr="008F3F12">
              <w:rPr>
                <w:rFonts w:ascii="Calibri" w:hAnsi="Calibri" w:cs="Calibri"/>
                <w:b/>
                <w:bCs/>
                <w:caps/>
                <w:kern w:val="1"/>
                <w:lang w:eastAsia="ar-SA"/>
              </w:rPr>
              <w:t>Lp</w:t>
            </w:r>
          </w:p>
        </w:tc>
        <w:tc>
          <w:tcPr>
            <w:tcW w:w="5716" w:type="dxa"/>
            <w:shd w:val="clear" w:color="auto" w:fill="FFFFFF"/>
            <w:vAlign w:val="center"/>
          </w:tcPr>
          <w:p w:rsidR="00DB578E" w:rsidRPr="008F3F12" w:rsidRDefault="00DB578E" w:rsidP="001C58A5">
            <w:pPr>
              <w:spacing w:after="0" w:line="276" w:lineRule="auto"/>
              <w:jc w:val="center"/>
              <w:rPr>
                <w:rFonts w:ascii="Calibri" w:hAnsi="Calibri" w:cs="Calibri"/>
                <w:b/>
                <w:bCs/>
                <w:caps/>
                <w:kern w:val="1"/>
                <w:lang w:eastAsia="ar-SA"/>
              </w:rPr>
            </w:pPr>
            <w:r w:rsidRPr="008F3F12">
              <w:rPr>
                <w:rFonts w:ascii="Calibri" w:hAnsi="Calibri" w:cs="Calibri"/>
                <w:b/>
                <w:bCs/>
                <w:caps/>
                <w:kern w:val="1"/>
                <w:lang w:eastAsia="ar-SA"/>
              </w:rPr>
              <w:t>Asortyment</w:t>
            </w:r>
          </w:p>
          <w:p w:rsidR="00DB578E" w:rsidRPr="008F3F12" w:rsidRDefault="00DB578E" w:rsidP="001C58A5">
            <w:pPr>
              <w:spacing w:after="0" w:line="276" w:lineRule="auto"/>
              <w:jc w:val="center"/>
              <w:rPr>
                <w:rFonts w:ascii="Calibri" w:hAnsi="Calibri" w:cs="Calibri"/>
                <w:b/>
                <w:bCs/>
                <w:caps/>
                <w:kern w:val="1"/>
                <w:lang w:eastAsia="ar-SA"/>
              </w:rPr>
            </w:pPr>
          </w:p>
        </w:tc>
        <w:tc>
          <w:tcPr>
            <w:tcW w:w="787" w:type="dxa"/>
            <w:shd w:val="clear" w:color="auto" w:fill="FFFFFF"/>
            <w:vAlign w:val="center"/>
          </w:tcPr>
          <w:p w:rsidR="00DB578E" w:rsidRPr="008F3F12" w:rsidRDefault="00DB578E" w:rsidP="001C58A5">
            <w:pPr>
              <w:spacing w:after="0" w:line="240" w:lineRule="auto"/>
              <w:jc w:val="center"/>
              <w:rPr>
                <w:rFonts w:ascii="Calibri" w:hAnsi="Calibri" w:cs="Calibri"/>
                <w:b/>
                <w:bCs/>
                <w:caps/>
                <w:kern w:val="1"/>
                <w:lang w:eastAsia="ar-SA"/>
              </w:rPr>
            </w:pPr>
            <w:r w:rsidRPr="008F3F12">
              <w:rPr>
                <w:rFonts w:ascii="Calibri" w:hAnsi="Calibri" w:cs="Calibri"/>
                <w:b/>
                <w:bCs/>
                <w:caps/>
                <w:kern w:val="1"/>
                <w:lang w:eastAsia="ar-SA"/>
              </w:rPr>
              <w:t>Jedn.</w:t>
            </w:r>
          </w:p>
          <w:p w:rsidR="00DB578E" w:rsidRPr="008F3F12" w:rsidRDefault="00DB578E" w:rsidP="001C58A5">
            <w:pPr>
              <w:spacing w:after="0" w:line="240" w:lineRule="auto"/>
              <w:jc w:val="center"/>
              <w:rPr>
                <w:rFonts w:ascii="Calibri" w:hAnsi="Calibri" w:cs="Calibri"/>
                <w:b/>
                <w:bCs/>
                <w:caps/>
                <w:kern w:val="1"/>
                <w:lang w:eastAsia="ar-SA"/>
              </w:rPr>
            </w:pPr>
            <w:r w:rsidRPr="008F3F12">
              <w:rPr>
                <w:rFonts w:ascii="Calibri" w:hAnsi="Calibri" w:cs="Calibri"/>
                <w:b/>
                <w:bCs/>
                <w:caps/>
                <w:kern w:val="1"/>
                <w:lang w:eastAsia="ar-SA"/>
              </w:rPr>
              <w:t>miary</w:t>
            </w:r>
          </w:p>
        </w:tc>
        <w:tc>
          <w:tcPr>
            <w:tcW w:w="993" w:type="dxa"/>
            <w:shd w:val="clear" w:color="auto" w:fill="FFFFFF"/>
            <w:vAlign w:val="center"/>
          </w:tcPr>
          <w:p w:rsidR="00DB578E" w:rsidRPr="008F3F12" w:rsidRDefault="00DB578E" w:rsidP="001C58A5">
            <w:pPr>
              <w:spacing w:after="0" w:line="240" w:lineRule="auto"/>
              <w:jc w:val="center"/>
              <w:rPr>
                <w:rFonts w:ascii="Calibri" w:hAnsi="Calibri" w:cs="Calibri"/>
                <w:b/>
                <w:bCs/>
                <w:caps/>
                <w:kern w:val="1"/>
                <w:lang w:eastAsia="ar-SA"/>
              </w:rPr>
            </w:pPr>
            <w:r w:rsidRPr="008F3F12">
              <w:rPr>
                <w:rFonts w:ascii="Calibri" w:hAnsi="Calibri" w:cs="Calibri"/>
                <w:b/>
                <w:bCs/>
                <w:caps/>
                <w:kern w:val="1"/>
                <w:lang w:eastAsia="ar-SA"/>
              </w:rPr>
              <w:t>IloŚĆ</w:t>
            </w:r>
          </w:p>
          <w:p w:rsidR="00DB578E" w:rsidRPr="008F3F12" w:rsidRDefault="00DB578E" w:rsidP="001C58A5">
            <w:pPr>
              <w:spacing w:after="0" w:line="240" w:lineRule="auto"/>
              <w:jc w:val="center"/>
              <w:rPr>
                <w:rFonts w:ascii="Calibri" w:hAnsi="Calibri" w:cs="Calibri"/>
                <w:b/>
                <w:bCs/>
                <w:caps/>
                <w:kern w:val="1"/>
                <w:lang w:eastAsia="ar-SA"/>
              </w:rPr>
            </w:pPr>
            <w:r w:rsidRPr="008F3F12">
              <w:rPr>
                <w:rFonts w:ascii="Calibri" w:hAnsi="Calibri" w:cs="Calibri"/>
                <w:b/>
                <w:bCs/>
                <w:caps/>
                <w:kern w:val="1"/>
                <w:lang w:eastAsia="ar-SA"/>
              </w:rPr>
              <w:t>szT</w:t>
            </w:r>
          </w:p>
          <w:p w:rsidR="00DB578E" w:rsidRPr="008F3F12" w:rsidRDefault="00DB578E" w:rsidP="001C58A5">
            <w:pPr>
              <w:spacing w:after="0" w:line="240" w:lineRule="auto"/>
              <w:jc w:val="center"/>
              <w:rPr>
                <w:rFonts w:ascii="Calibri" w:hAnsi="Calibri" w:cs="Calibri"/>
                <w:b/>
                <w:bCs/>
                <w:caps/>
                <w:kern w:val="1"/>
                <w:lang w:eastAsia="ar-SA"/>
              </w:rPr>
            </w:pPr>
            <w:r w:rsidRPr="008F3F12">
              <w:rPr>
                <w:rFonts w:ascii="Calibri" w:hAnsi="Calibri" w:cs="Calibri"/>
                <w:b/>
                <w:bCs/>
                <w:caps/>
                <w:kern w:val="1"/>
                <w:lang w:eastAsia="ar-SA"/>
              </w:rPr>
              <w:t>(A)</w:t>
            </w:r>
          </w:p>
        </w:tc>
        <w:tc>
          <w:tcPr>
            <w:tcW w:w="1275" w:type="dxa"/>
            <w:shd w:val="clear" w:color="auto" w:fill="FFFFFF"/>
            <w:vAlign w:val="center"/>
          </w:tcPr>
          <w:p w:rsidR="00DB578E" w:rsidRPr="008F3F12" w:rsidRDefault="00DB578E" w:rsidP="001C58A5">
            <w:pPr>
              <w:spacing w:after="0" w:line="240" w:lineRule="auto"/>
              <w:jc w:val="center"/>
              <w:rPr>
                <w:rFonts w:ascii="Calibri" w:hAnsi="Calibri" w:cs="Calibri"/>
                <w:b/>
                <w:bCs/>
                <w:caps/>
                <w:spacing w:val="-4"/>
                <w:kern w:val="1"/>
                <w:lang w:eastAsia="ar-SA"/>
              </w:rPr>
            </w:pPr>
            <w:r w:rsidRPr="008F3F12">
              <w:rPr>
                <w:rFonts w:ascii="Calibri" w:hAnsi="Calibri" w:cs="Calibri"/>
                <w:b/>
                <w:bCs/>
                <w:caps/>
                <w:spacing w:val="-4"/>
                <w:kern w:val="1"/>
                <w:lang w:eastAsia="ar-SA"/>
              </w:rPr>
              <w:t>Cena jedn.</w:t>
            </w:r>
          </w:p>
          <w:p w:rsidR="00DB578E" w:rsidRPr="008F3F12" w:rsidRDefault="00DB578E" w:rsidP="001C58A5">
            <w:pPr>
              <w:spacing w:after="0" w:line="240" w:lineRule="auto"/>
              <w:jc w:val="center"/>
              <w:rPr>
                <w:rFonts w:ascii="Calibri" w:hAnsi="Calibri" w:cs="Calibri"/>
                <w:b/>
                <w:bCs/>
                <w:kern w:val="1"/>
                <w:lang w:eastAsia="ar-SA"/>
              </w:rPr>
            </w:pPr>
            <w:r w:rsidRPr="008F3F12">
              <w:rPr>
                <w:rFonts w:ascii="Calibri" w:hAnsi="Calibri" w:cs="Calibri"/>
                <w:b/>
                <w:bCs/>
                <w:caps/>
                <w:spacing w:val="-4"/>
                <w:kern w:val="1"/>
                <w:lang w:eastAsia="ar-SA"/>
              </w:rPr>
              <w:t>brutto</w:t>
            </w:r>
            <w:r w:rsidRPr="008F3F12">
              <w:rPr>
                <w:rFonts w:ascii="Calibri" w:hAnsi="Calibri" w:cs="Calibri"/>
                <w:b/>
                <w:bCs/>
                <w:kern w:val="1"/>
                <w:lang w:eastAsia="ar-SA"/>
              </w:rPr>
              <w:t>*</w:t>
            </w:r>
          </w:p>
          <w:p w:rsidR="00DB578E" w:rsidRPr="008F3F12" w:rsidRDefault="00DB578E" w:rsidP="001C58A5">
            <w:pPr>
              <w:spacing w:after="0" w:line="240" w:lineRule="auto"/>
              <w:jc w:val="center"/>
              <w:rPr>
                <w:rFonts w:ascii="Calibri" w:hAnsi="Calibri" w:cs="Calibri"/>
                <w:b/>
                <w:bCs/>
                <w:caps/>
                <w:kern w:val="1"/>
                <w:lang w:eastAsia="ar-SA"/>
              </w:rPr>
            </w:pPr>
            <w:r w:rsidRPr="008F3F12">
              <w:rPr>
                <w:rFonts w:ascii="Calibri" w:hAnsi="Calibri" w:cs="Calibri"/>
                <w:b/>
                <w:bCs/>
                <w:kern w:val="1"/>
                <w:lang w:eastAsia="ar-SA"/>
              </w:rPr>
              <w:t>SZT (B)</w:t>
            </w:r>
          </w:p>
        </w:tc>
        <w:tc>
          <w:tcPr>
            <w:tcW w:w="1418" w:type="dxa"/>
            <w:shd w:val="clear" w:color="auto" w:fill="FFFFFF"/>
            <w:vAlign w:val="center"/>
          </w:tcPr>
          <w:p w:rsidR="00DB578E" w:rsidRPr="008F3F12" w:rsidRDefault="00DB578E" w:rsidP="001C58A5">
            <w:pPr>
              <w:spacing w:after="0" w:line="240" w:lineRule="auto"/>
              <w:jc w:val="center"/>
              <w:rPr>
                <w:rFonts w:ascii="Calibri" w:hAnsi="Calibri" w:cs="Calibri"/>
                <w:b/>
                <w:bCs/>
                <w:kern w:val="1"/>
                <w:lang w:eastAsia="ar-SA"/>
              </w:rPr>
            </w:pPr>
            <w:r w:rsidRPr="008F3F12">
              <w:rPr>
                <w:rFonts w:ascii="Calibri" w:hAnsi="Calibri" w:cs="Calibri"/>
                <w:b/>
                <w:bCs/>
                <w:caps/>
                <w:kern w:val="1"/>
                <w:lang w:eastAsia="ar-SA"/>
              </w:rPr>
              <w:t>Wartość brutto</w:t>
            </w:r>
            <w:r w:rsidRPr="008F3F12">
              <w:rPr>
                <w:rFonts w:ascii="Calibri" w:hAnsi="Calibri" w:cs="Calibri"/>
                <w:b/>
                <w:bCs/>
                <w:kern w:val="1"/>
                <w:lang w:eastAsia="ar-SA"/>
              </w:rPr>
              <w:t>*</w:t>
            </w:r>
          </w:p>
          <w:p w:rsidR="00DB578E" w:rsidRPr="008F3F12" w:rsidRDefault="00DB578E" w:rsidP="001C58A5">
            <w:pPr>
              <w:spacing w:after="0" w:line="240" w:lineRule="auto"/>
              <w:jc w:val="center"/>
              <w:rPr>
                <w:rFonts w:ascii="Calibri" w:hAnsi="Calibri" w:cs="Calibri"/>
                <w:b/>
                <w:bCs/>
                <w:caps/>
                <w:spacing w:val="-4"/>
                <w:kern w:val="1"/>
                <w:lang w:eastAsia="ar-SA"/>
              </w:rPr>
            </w:pPr>
            <w:r w:rsidRPr="008F3F12">
              <w:rPr>
                <w:rFonts w:ascii="Calibri" w:hAnsi="Calibri" w:cs="Calibri"/>
                <w:b/>
                <w:bCs/>
                <w:kern w:val="1"/>
                <w:lang w:eastAsia="ar-SA"/>
              </w:rPr>
              <w:t>(A)x(B)</w:t>
            </w:r>
          </w:p>
        </w:tc>
        <w:tc>
          <w:tcPr>
            <w:tcW w:w="1559" w:type="dxa"/>
            <w:shd w:val="clear" w:color="auto" w:fill="FFFFFF"/>
          </w:tcPr>
          <w:p w:rsidR="00DB578E" w:rsidRPr="008F3F12" w:rsidRDefault="00DB578E" w:rsidP="001C58A5">
            <w:pPr>
              <w:snapToGrid w:val="0"/>
              <w:spacing w:after="0" w:line="240" w:lineRule="auto"/>
              <w:jc w:val="center"/>
              <w:rPr>
                <w:rFonts w:ascii="Calibri" w:hAnsi="Calibri" w:cs="Calibri"/>
                <w:b/>
                <w:bCs/>
                <w:spacing w:val="-4"/>
              </w:rPr>
            </w:pPr>
            <w:r w:rsidRPr="008F3F12">
              <w:rPr>
                <w:rFonts w:ascii="Calibri" w:hAnsi="Calibri" w:cs="Calibri"/>
                <w:b/>
                <w:bCs/>
                <w:spacing w:val="-4"/>
              </w:rPr>
              <w:t>WIELKOŚĆ</w:t>
            </w:r>
          </w:p>
          <w:p w:rsidR="00DB578E" w:rsidRPr="008F3F12" w:rsidRDefault="00DB578E" w:rsidP="001C58A5">
            <w:pPr>
              <w:snapToGrid w:val="0"/>
              <w:spacing w:after="0" w:line="240" w:lineRule="auto"/>
              <w:jc w:val="center"/>
              <w:rPr>
                <w:rFonts w:ascii="Calibri" w:hAnsi="Calibri" w:cs="Calibri"/>
                <w:b/>
                <w:bCs/>
                <w:spacing w:val="-4"/>
              </w:rPr>
            </w:pPr>
            <w:r w:rsidRPr="008F3F12">
              <w:rPr>
                <w:rFonts w:ascii="Calibri" w:hAnsi="Calibri" w:cs="Calibri"/>
                <w:b/>
                <w:bCs/>
                <w:spacing w:val="-4"/>
              </w:rPr>
              <w:t>OPAKOWANIA</w:t>
            </w:r>
          </w:p>
          <w:p w:rsidR="00DB578E" w:rsidRPr="008F3F12" w:rsidRDefault="00DB578E" w:rsidP="001C58A5">
            <w:pPr>
              <w:snapToGrid w:val="0"/>
              <w:spacing w:after="0" w:line="240" w:lineRule="auto"/>
              <w:jc w:val="center"/>
              <w:rPr>
                <w:rFonts w:ascii="Calibri" w:hAnsi="Calibri" w:cs="Calibri"/>
                <w:b/>
                <w:bCs/>
                <w:spacing w:val="-4"/>
              </w:rPr>
            </w:pPr>
            <w:r w:rsidRPr="008F3F12">
              <w:rPr>
                <w:rFonts w:ascii="Calibri" w:hAnsi="Calibri" w:cs="Calibri"/>
                <w:b/>
                <w:bCs/>
                <w:spacing w:val="-4"/>
              </w:rPr>
              <w:t>HANDLOWEGO</w:t>
            </w:r>
          </w:p>
          <w:p w:rsidR="00DB578E" w:rsidRPr="008F3F12" w:rsidRDefault="00DB578E" w:rsidP="001C58A5">
            <w:pPr>
              <w:snapToGrid w:val="0"/>
              <w:spacing w:after="0" w:line="240" w:lineRule="auto"/>
              <w:jc w:val="center"/>
              <w:rPr>
                <w:rFonts w:ascii="Calibri" w:hAnsi="Calibri" w:cs="Calibri"/>
                <w:b/>
                <w:bCs/>
                <w:spacing w:val="-4"/>
                <w:kern w:val="1"/>
                <w:lang w:eastAsia="ar-SA"/>
              </w:rPr>
            </w:pPr>
            <w:r w:rsidRPr="008F3F12">
              <w:rPr>
                <w:rFonts w:ascii="Calibri" w:hAnsi="Calibri" w:cs="Calibri"/>
                <w:b/>
                <w:bCs/>
                <w:spacing w:val="-4"/>
              </w:rPr>
              <w:t>(zbiorczego</w:t>
            </w:r>
          </w:p>
        </w:tc>
        <w:tc>
          <w:tcPr>
            <w:tcW w:w="1946" w:type="dxa"/>
            <w:shd w:val="clear" w:color="auto" w:fill="FFFFFF"/>
            <w:vAlign w:val="center"/>
          </w:tcPr>
          <w:p w:rsidR="00DB578E" w:rsidRPr="008F3F12" w:rsidRDefault="00DB578E" w:rsidP="001C58A5">
            <w:pPr>
              <w:snapToGrid w:val="0"/>
              <w:spacing w:after="0" w:line="240" w:lineRule="auto"/>
              <w:jc w:val="center"/>
              <w:rPr>
                <w:rFonts w:ascii="Calibri" w:hAnsi="Calibri" w:cs="Calibri"/>
                <w:b/>
                <w:bCs/>
                <w:spacing w:val="-4"/>
                <w:kern w:val="1"/>
                <w:lang w:eastAsia="ar-SA"/>
              </w:rPr>
            </w:pPr>
            <w:r w:rsidRPr="008F3F12">
              <w:rPr>
                <w:rFonts w:ascii="Calibri" w:hAnsi="Calibri" w:cs="Calibri"/>
                <w:b/>
                <w:bCs/>
                <w:spacing w:val="-4"/>
                <w:kern w:val="1"/>
                <w:lang w:eastAsia="ar-SA"/>
              </w:rPr>
              <w:t>Producent/</w:t>
            </w:r>
          </w:p>
          <w:p w:rsidR="00DB578E" w:rsidRPr="008F3F12" w:rsidRDefault="00DB578E" w:rsidP="001C58A5">
            <w:pPr>
              <w:snapToGrid w:val="0"/>
              <w:spacing w:after="0" w:line="240" w:lineRule="auto"/>
              <w:jc w:val="center"/>
              <w:rPr>
                <w:rFonts w:ascii="Calibri" w:hAnsi="Calibri" w:cs="Calibri"/>
                <w:b/>
                <w:bCs/>
                <w:spacing w:val="-4"/>
                <w:kern w:val="1"/>
                <w:lang w:eastAsia="ar-SA"/>
              </w:rPr>
            </w:pPr>
            <w:r w:rsidRPr="008F3F12">
              <w:rPr>
                <w:rFonts w:ascii="Calibri" w:hAnsi="Calibri" w:cs="Calibri"/>
                <w:b/>
                <w:bCs/>
                <w:spacing w:val="-4"/>
                <w:kern w:val="1"/>
                <w:lang w:eastAsia="ar-SA"/>
              </w:rPr>
              <w:t xml:space="preserve">Numer katalogowy/ </w:t>
            </w:r>
            <w:r w:rsidRPr="00D92E18">
              <w:rPr>
                <w:rFonts w:ascii="Calibri" w:hAnsi="Calibri" w:cs="Calibri"/>
                <w:b/>
                <w:bCs/>
                <w:spacing w:val="-4"/>
                <w:kern w:val="1"/>
                <w:lang w:eastAsia="ar-SA"/>
              </w:rPr>
              <w:t>Nazwa na fakturze</w:t>
            </w:r>
            <w:r w:rsidRPr="00D92E18">
              <w:rPr>
                <w:rFonts w:ascii="Calibri" w:hAnsi="Calibri" w:cs="Calibri"/>
                <w:b/>
                <w:bCs/>
                <w:kern w:val="1"/>
                <w:lang w:eastAsia="ar-SA"/>
              </w:rPr>
              <w:t>*</w:t>
            </w:r>
          </w:p>
        </w:tc>
      </w:tr>
      <w:tr w:rsidR="00DB578E" w:rsidRPr="008F3F12" w:rsidTr="00082647">
        <w:trPr>
          <w:trHeight w:val="281"/>
        </w:trPr>
        <w:tc>
          <w:tcPr>
            <w:tcW w:w="375" w:type="dxa"/>
            <w:shd w:val="clear" w:color="auto" w:fill="FFFFFF"/>
            <w:vAlign w:val="center"/>
          </w:tcPr>
          <w:p w:rsidR="00DB578E" w:rsidRPr="008F3F12" w:rsidRDefault="00DB578E" w:rsidP="00A01F88">
            <w:pPr>
              <w:spacing w:line="276" w:lineRule="auto"/>
              <w:jc w:val="center"/>
              <w:rPr>
                <w:rFonts w:ascii="Calibri" w:hAnsi="Calibri" w:cs="Calibri"/>
                <w:b/>
                <w:bCs/>
                <w:caps/>
                <w:kern w:val="1"/>
                <w:lang w:eastAsia="ar-SA"/>
              </w:rPr>
            </w:pPr>
            <w:r w:rsidRPr="008F3F12">
              <w:rPr>
                <w:rFonts w:ascii="Calibri" w:hAnsi="Calibri" w:cs="Calibri"/>
                <w:b/>
                <w:bCs/>
                <w:caps/>
                <w:kern w:val="1"/>
                <w:lang w:eastAsia="ar-SA"/>
              </w:rPr>
              <w:t>1</w:t>
            </w:r>
          </w:p>
        </w:tc>
        <w:tc>
          <w:tcPr>
            <w:tcW w:w="5716" w:type="dxa"/>
            <w:shd w:val="clear" w:color="auto" w:fill="FFFFFF"/>
            <w:vAlign w:val="center"/>
          </w:tcPr>
          <w:p w:rsidR="00DB578E" w:rsidRPr="008F3F12" w:rsidRDefault="00DB578E" w:rsidP="00A01F88">
            <w:pPr>
              <w:spacing w:line="276" w:lineRule="auto"/>
              <w:jc w:val="center"/>
              <w:rPr>
                <w:rFonts w:ascii="Calibri" w:hAnsi="Calibri" w:cs="Calibri"/>
                <w:b/>
                <w:bCs/>
                <w:caps/>
                <w:kern w:val="1"/>
                <w:lang w:eastAsia="ar-SA"/>
              </w:rPr>
            </w:pPr>
            <w:r w:rsidRPr="008F3F12">
              <w:rPr>
                <w:rFonts w:ascii="Calibri" w:hAnsi="Calibri" w:cs="Calibri"/>
                <w:b/>
                <w:bCs/>
                <w:caps/>
                <w:kern w:val="1"/>
                <w:lang w:eastAsia="ar-SA"/>
              </w:rPr>
              <w:t>2</w:t>
            </w:r>
          </w:p>
        </w:tc>
        <w:tc>
          <w:tcPr>
            <w:tcW w:w="787" w:type="dxa"/>
            <w:shd w:val="clear" w:color="auto" w:fill="FFFFFF"/>
            <w:vAlign w:val="center"/>
          </w:tcPr>
          <w:p w:rsidR="00DB578E" w:rsidRPr="008F3F12" w:rsidRDefault="00DB578E" w:rsidP="00A01F88">
            <w:pPr>
              <w:spacing w:line="276" w:lineRule="auto"/>
              <w:jc w:val="center"/>
              <w:rPr>
                <w:rFonts w:ascii="Calibri" w:hAnsi="Calibri" w:cs="Calibri"/>
                <w:b/>
                <w:bCs/>
                <w:caps/>
                <w:kern w:val="1"/>
                <w:lang w:eastAsia="ar-SA"/>
              </w:rPr>
            </w:pPr>
            <w:r w:rsidRPr="008F3F12">
              <w:rPr>
                <w:rFonts w:ascii="Calibri" w:hAnsi="Calibri" w:cs="Calibri"/>
                <w:b/>
                <w:bCs/>
                <w:caps/>
                <w:kern w:val="1"/>
                <w:lang w:eastAsia="ar-SA"/>
              </w:rPr>
              <w:t>3</w:t>
            </w:r>
          </w:p>
        </w:tc>
        <w:tc>
          <w:tcPr>
            <w:tcW w:w="993" w:type="dxa"/>
            <w:shd w:val="clear" w:color="auto" w:fill="FFFFFF"/>
            <w:vAlign w:val="center"/>
          </w:tcPr>
          <w:p w:rsidR="00DB578E" w:rsidRPr="008F3F12" w:rsidRDefault="00DB578E" w:rsidP="00A01F88">
            <w:pPr>
              <w:spacing w:line="276" w:lineRule="auto"/>
              <w:jc w:val="center"/>
              <w:rPr>
                <w:rFonts w:ascii="Calibri" w:hAnsi="Calibri" w:cs="Calibri"/>
                <w:b/>
                <w:bCs/>
                <w:caps/>
                <w:kern w:val="1"/>
                <w:lang w:eastAsia="ar-SA"/>
              </w:rPr>
            </w:pPr>
            <w:r w:rsidRPr="008F3F12">
              <w:rPr>
                <w:rFonts w:ascii="Calibri" w:hAnsi="Calibri" w:cs="Calibri"/>
                <w:b/>
                <w:bCs/>
                <w:caps/>
                <w:kern w:val="1"/>
                <w:lang w:eastAsia="ar-SA"/>
              </w:rPr>
              <w:t>4</w:t>
            </w:r>
          </w:p>
        </w:tc>
        <w:tc>
          <w:tcPr>
            <w:tcW w:w="1275" w:type="dxa"/>
            <w:shd w:val="clear" w:color="auto" w:fill="FFFFFF"/>
            <w:vAlign w:val="center"/>
          </w:tcPr>
          <w:p w:rsidR="00DB578E" w:rsidRPr="008F3F12" w:rsidRDefault="00DB578E" w:rsidP="00A01F88">
            <w:pPr>
              <w:spacing w:line="276" w:lineRule="auto"/>
              <w:jc w:val="center"/>
              <w:rPr>
                <w:rFonts w:ascii="Calibri" w:hAnsi="Calibri" w:cs="Calibri"/>
                <w:b/>
                <w:bCs/>
                <w:caps/>
                <w:spacing w:val="-4"/>
                <w:kern w:val="1"/>
                <w:lang w:eastAsia="ar-SA"/>
              </w:rPr>
            </w:pPr>
            <w:r w:rsidRPr="008F3F12">
              <w:rPr>
                <w:rFonts w:ascii="Calibri" w:hAnsi="Calibri" w:cs="Calibri"/>
                <w:b/>
                <w:bCs/>
                <w:caps/>
                <w:spacing w:val="-4"/>
                <w:kern w:val="1"/>
                <w:lang w:eastAsia="ar-SA"/>
              </w:rPr>
              <w:t>5</w:t>
            </w:r>
          </w:p>
        </w:tc>
        <w:tc>
          <w:tcPr>
            <w:tcW w:w="1418" w:type="dxa"/>
            <w:shd w:val="clear" w:color="auto" w:fill="FFFFFF"/>
            <w:vAlign w:val="center"/>
          </w:tcPr>
          <w:p w:rsidR="00DB578E" w:rsidRPr="008F3F12" w:rsidRDefault="00DB578E" w:rsidP="00A01F88">
            <w:pPr>
              <w:spacing w:line="276" w:lineRule="auto"/>
              <w:jc w:val="center"/>
              <w:rPr>
                <w:rFonts w:ascii="Calibri" w:hAnsi="Calibri" w:cs="Calibri"/>
                <w:b/>
                <w:bCs/>
                <w:caps/>
                <w:kern w:val="1"/>
                <w:lang w:eastAsia="ar-SA"/>
              </w:rPr>
            </w:pPr>
            <w:r w:rsidRPr="008F3F12">
              <w:rPr>
                <w:rFonts w:ascii="Calibri" w:hAnsi="Calibri" w:cs="Calibri"/>
                <w:b/>
                <w:bCs/>
                <w:caps/>
                <w:kern w:val="1"/>
                <w:lang w:eastAsia="ar-SA"/>
              </w:rPr>
              <w:t>6</w:t>
            </w:r>
          </w:p>
        </w:tc>
        <w:tc>
          <w:tcPr>
            <w:tcW w:w="1559" w:type="dxa"/>
            <w:shd w:val="clear" w:color="auto" w:fill="FFFFFF"/>
          </w:tcPr>
          <w:p w:rsidR="00DB578E" w:rsidRPr="008F3F12" w:rsidRDefault="00DB578E" w:rsidP="00A01F88">
            <w:pPr>
              <w:snapToGrid w:val="0"/>
              <w:spacing w:line="276" w:lineRule="auto"/>
              <w:jc w:val="center"/>
              <w:rPr>
                <w:rFonts w:ascii="Calibri" w:hAnsi="Calibri" w:cs="Calibri"/>
                <w:b/>
                <w:bCs/>
                <w:spacing w:val="-4"/>
              </w:rPr>
            </w:pPr>
            <w:r w:rsidRPr="008F3F12">
              <w:rPr>
                <w:rFonts w:ascii="Calibri" w:hAnsi="Calibri" w:cs="Calibri"/>
                <w:b/>
                <w:bCs/>
                <w:spacing w:val="-4"/>
              </w:rPr>
              <w:t>7</w:t>
            </w:r>
          </w:p>
        </w:tc>
        <w:tc>
          <w:tcPr>
            <w:tcW w:w="1946" w:type="dxa"/>
            <w:shd w:val="clear" w:color="auto" w:fill="FFFFFF"/>
            <w:vAlign w:val="center"/>
          </w:tcPr>
          <w:p w:rsidR="00DB578E" w:rsidRPr="008F3F12" w:rsidRDefault="00DB578E" w:rsidP="00A01F88">
            <w:pPr>
              <w:snapToGrid w:val="0"/>
              <w:spacing w:line="276" w:lineRule="auto"/>
              <w:rPr>
                <w:rFonts w:ascii="Calibri" w:hAnsi="Calibri" w:cs="Calibri"/>
                <w:b/>
                <w:bCs/>
                <w:spacing w:val="-4"/>
                <w:kern w:val="1"/>
                <w:lang w:eastAsia="ar-SA"/>
              </w:rPr>
            </w:pPr>
            <w:r w:rsidRPr="008F3F12">
              <w:rPr>
                <w:rFonts w:ascii="Calibri" w:hAnsi="Calibri" w:cs="Calibri"/>
                <w:b/>
                <w:bCs/>
                <w:spacing w:val="-4"/>
                <w:kern w:val="1"/>
                <w:lang w:eastAsia="ar-SA"/>
              </w:rPr>
              <w:t>8</w:t>
            </w:r>
          </w:p>
        </w:tc>
      </w:tr>
      <w:tr w:rsidR="00DB578E" w:rsidRPr="00082647" w:rsidTr="00887B88">
        <w:trPr>
          <w:trHeight w:val="238"/>
        </w:trPr>
        <w:tc>
          <w:tcPr>
            <w:tcW w:w="375" w:type="dxa"/>
            <w:shd w:val="clear" w:color="auto" w:fill="FFFFFF"/>
            <w:vAlign w:val="center"/>
          </w:tcPr>
          <w:p w:rsidR="00DB578E" w:rsidRPr="00082647" w:rsidRDefault="00DB578E" w:rsidP="00A01F88">
            <w:pPr>
              <w:jc w:val="center"/>
              <w:rPr>
                <w:rFonts w:cstheme="minorHAnsi"/>
                <w:kern w:val="1"/>
                <w:lang w:eastAsia="ar-SA"/>
              </w:rPr>
            </w:pPr>
            <w:r w:rsidRPr="00082647">
              <w:rPr>
                <w:rFonts w:cstheme="minorHAnsi"/>
                <w:kern w:val="1"/>
                <w:lang w:eastAsia="ar-SA"/>
              </w:rPr>
              <w:t>1</w:t>
            </w:r>
          </w:p>
        </w:tc>
        <w:tc>
          <w:tcPr>
            <w:tcW w:w="5716" w:type="dxa"/>
            <w:shd w:val="clear" w:color="auto" w:fill="FFFFFF"/>
            <w:vAlign w:val="center"/>
          </w:tcPr>
          <w:p w:rsidR="001C58A5" w:rsidRPr="00082647" w:rsidRDefault="00887B88" w:rsidP="00082647">
            <w:pPr>
              <w:widowControl w:val="0"/>
              <w:spacing w:after="0" w:line="240" w:lineRule="auto"/>
              <w:jc w:val="both"/>
              <w:rPr>
                <w:rFonts w:cstheme="minorHAnsi"/>
                <w:lang w:eastAsia="pl-PL"/>
              </w:rPr>
            </w:pPr>
            <w:r w:rsidRPr="00082647">
              <w:rPr>
                <w:rFonts w:eastAsia="Times New Roman" w:cstheme="minorHAnsi"/>
                <w:b/>
                <w:bCs/>
                <w:color w:val="000000"/>
                <w:lang w:eastAsia="pl-PL"/>
              </w:rPr>
              <w:t>Dren przezroczysty lub bursztynowy</w:t>
            </w:r>
            <w:r w:rsidRPr="00082647">
              <w:rPr>
                <w:rFonts w:eastAsia="Times New Roman" w:cstheme="minorHAnsi"/>
                <w:bCs/>
                <w:color w:val="000000"/>
                <w:lang w:eastAsia="pl-PL"/>
              </w:rPr>
              <w:t xml:space="preserve"> (do wyboru zamawiającego) do przygotowania leków cytostatycznych w pojemniku lub worku z możliwością ich podaży przez podłączenie z drenem </w:t>
            </w:r>
            <w:proofErr w:type="spellStart"/>
            <w:r w:rsidRPr="00082647">
              <w:rPr>
                <w:rFonts w:eastAsia="Times New Roman" w:cstheme="minorHAnsi"/>
                <w:bCs/>
                <w:color w:val="000000"/>
                <w:lang w:eastAsia="pl-PL"/>
              </w:rPr>
              <w:t>głównym-kompatybilny</w:t>
            </w:r>
            <w:proofErr w:type="spellEnd"/>
            <w:r w:rsidRPr="00082647">
              <w:rPr>
                <w:rFonts w:eastAsia="Times New Roman" w:cstheme="minorHAnsi"/>
                <w:bCs/>
                <w:color w:val="000000"/>
                <w:lang w:eastAsia="pl-PL"/>
              </w:rPr>
              <w:t xml:space="preserve"> z drenem wielodrożnym (głównym). Dren- poliuretan. Bez zawartości PCV. Możliwość dodania </w:t>
            </w:r>
            <w:proofErr w:type="spellStart"/>
            <w:r w:rsidRPr="00082647">
              <w:rPr>
                <w:rFonts w:eastAsia="Times New Roman" w:cstheme="minorHAnsi"/>
                <w:bCs/>
                <w:color w:val="000000"/>
                <w:lang w:eastAsia="pl-PL"/>
              </w:rPr>
              <w:t>cytostatyku</w:t>
            </w:r>
            <w:proofErr w:type="spellEnd"/>
            <w:r w:rsidRPr="00082647">
              <w:rPr>
                <w:rFonts w:eastAsia="Times New Roman" w:cstheme="minorHAnsi"/>
                <w:bCs/>
                <w:color w:val="000000"/>
                <w:lang w:eastAsia="pl-PL"/>
              </w:rPr>
              <w:t xml:space="preserve"> poprzez zintegrowaną zastawkę bezigłową zabezpieczoną korkiem </w:t>
            </w:r>
            <w:proofErr w:type="spellStart"/>
            <w:r w:rsidRPr="00082647">
              <w:rPr>
                <w:rFonts w:eastAsia="Times New Roman" w:cstheme="minorHAnsi"/>
                <w:bCs/>
                <w:color w:val="000000"/>
                <w:lang w:eastAsia="pl-PL"/>
              </w:rPr>
              <w:t>luer</w:t>
            </w:r>
            <w:proofErr w:type="spellEnd"/>
            <w:r w:rsidRPr="00082647">
              <w:rPr>
                <w:rFonts w:eastAsia="Times New Roman" w:cstheme="minorHAnsi"/>
                <w:bCs/>
                <w:color w:val="000000"/>
                <w:lang w:eastAsia="pl-PL"/>
              </w:rPr>
              <w:t xml:space="preserve">-lock z uchwytem do łatwego trzymania w czasie </w:t>
            </w:r>
            <w:proofErr w:type="spellStart"/>
            <w:r w:rsidRPr="00082647">
              <w:rPr>
                <w:rFonts w:eastAsia="Times New Roman" w:cstheme="minorHAnsi"/>
                <w:bCs/>
                <w:color w:val="000000"/>
                <w:lang w:eastAsia="pl-PL"/>
              </w:rPr>
              <w:t>dostrzykiwania</w:t>
            </w:r>
            <w:proofErr w:type="spellEnd"/>
            <w:r w:rsidRPr="00082647">
              <w:rPr>
                <w:rFonts w:eastAsia="Times New Roman" w:cstheme="minorHAnsi"/>
                <w:bCs/>
                <w:color w:val="000000"/>
                <w:lang w:eastAsia="pl-PL"/>
              </w:rPr>
              <w:t xml:space="preserve"> leku. Koniec drenu zabezpieczony filtrem hydrofobowym zapobiegającym przed zapowietrzeniem drenu oraz zapobiegający wydostaniu się płynu na zewnątrz. Końcówka męska wyposażona w system sygnalizacji akustycznej po podłączeniu z drenem głównym. System drenów musi redukować możliwość kontaminacji leku i bezpośredni kontakt leku z personelem przygotowującym zestaw. Wymaga się aby dołączyć do oferty test potwierdzający, że linie do przygotowania i podaży leków stanowią zamknięty system w myśl definicji NIOSH i zapobiegają uwalnianiu się niebezpiecznych zanieczyszczeń do otoczenia.</w:t>
            </w:r>
          </w:p>
        </w:tc>
        <w:tc>
          <w:tcPr>
            <w:tcW w:w="787" w:type="dxa"/>
            <w:shd w:val="clear" w:color="auto" w:fill="FFFFFF"/>
            <w:vAlign w:val="center"/>
          </w:tcPr>
          <w:p w:rsidR="00DB578E" w:rsidRPr="00082647" w:rsidRDefault="00DB578E" w:rsidP="00A01F88">
            <w:pPr>
              <w:jc w:val="center"/>
              <w:rPr>
                <w:rFonts w:cstheme="minorHAnsi"/>
                <w:kern w:val="1"/>
                <w:lang w:eastAsia="ar-SA"/>
              </w:rPr>
            </w:pPr>
            <w:r w:rsidRPr="00082647">
              <w:rPr>
                <w:rFonts w:cstheme="minorHAnsi"/>
                <w:kern w:val="1"/>
                <w:lang w:eastAsia="ar-SA"/>
              </w:rPr>
              <w:t>szt.</w:t>
            </w:r>
          </w:p>
        </w:tc>
        <w:tc>
          <w:tcPr>
            <w:tcW w:w="993" w:type="dxa"/>
            <w:shd w:val="clear" w:color="auto" w:fill="FFFFFF"/>
            <w:vAlign w:val="center"/>
          </w:tcPr>
          <w:p w:rsidR="00DB578E" w:rsidRPr="00082647" w:rsidRDefault="00DB578E" w:rsidP="00DB578E">
            <w:pPr>
              <w:rPr>
                <w:rFonts w:cstheme="minorHAnsi"/>
                <w:kern w:val="1"/>
                <w:lang w:eastAsia="ar-SA"/>
              </w:rPr>
            </w:pPr>
            <w:r w:rsidRPr="00082647">
              <w:rPr>
                <w:rFonts w:cstheme="minorHAnsi"/>
                <w:kern w:val="1"/>
                <w:lang w:eastAsia="ar-SA"/>
              </w:rPr>
              <w:t xml:space="preserve"> </w:t>
            </w:r>
            <w:r w:rsidR="00A659B8">
              <w:rPr>
                <w:rFonts w:cstheme="minorHAnsi"/>
                <w:kern w:val="1"/>
                <w:lang w:eastAsia="ar-SA"/>
              </w:rPr>
              <w:t>73 300</w:t>
            </w:r>
          </w:p>
        </w:tc>
        <w:tc>
          <w:tcPr>
            <w:tcW w:w="1275" w:type="dxa"/>
            <w:shd w:val="clear" w:color="auto" w:fill="FFFFFF"/>
            <w:vAlign w:val="center"/>
          </w:tcPr>
          <w:p w:rsidR="00DB578E" w:rsidRPr="00082647" w:rsidRDefault="00DB578E" w:rsidP="00A01F88">
            <w:pPr>
              <w:snapToGrid w:val="0"/>
              <w:rPr>
                <w:rFonts w:cstheme="minorHAnsi"/>
                <w:kern w:val="1"/>
                <w:lang w:eastAsia="ar-SA"/>
              </w:rPr>
            </w:pPr>
          </w:p>
        </w:tc>
        <w:tc>
          <w:tcPr>
            <w:tcW w:w="1418" w:type="dxa"/>
            <w:shd w:val="clear" w:color="auto" w:fill="FFFFFF"/>
            <w:vAlign w:val="center"/>
          </w:tcPr>
          <w:p w:rsidR="00DB578E" w:rsidRPr="00082647" w:rsidRDefault="00DB578E" w:rsidP="00A01F88">
            <w:pPr>
              <w:snapToGrid w:val="0"/>
              <w:rPr>
                <w:rFonts w:cstheme="minorHAnsi"/>
                <w:kern w:val="1"/>
                <w:lang w:eastAsia="ar-SA"/>
              </w:rPr>
            </w:pPr>
          </w:p>
        </w:tc>
        <w:tc>
          <w:tcPr>
            <w:tcW w:w="1559" w:type="dxa"/>
            <w:shd w:val="clear" w:color="auto" w:fill="FFFFFF"/>
          </w:tcPr>
          <w:p w:rsidR="00DB578E" w:rsidRPr="00082647" w:rsidRDefault="00DB578E" w:rsidP="00A01F88">
            <w:pPr>
              <w:snapToGrid w:val="0"/>
              <w:rPr>
                <w:rFonts w:cstheme="minorHAnsi"/>
                <w:kern w:val="1"/>
                <w:lang w:eastAsia="ar-SA"/>
              </w:rPr>
            </w:pPr>
          </w:p>
        </w:tc>
        <w:tc>
          <w:tcPr>
            <w:tcW w:w="1946" w:type="dxa"/>
            <w:shd w:val="clear" w:color="auto" w:fill="FFFFFF"/>
            <w:vAlign w:val="center"/>
          </w:tcPr>
          <w:p w:rsidR="00DB578E" w:rsidRPr="00082647" w:rsidRDefault="00DB578E" w:rsidP="00A01F88">
            <w:pPr>
              <w:snapToGrid w:val="0"/>
              <w:rPr>
                <w:rFonts w:cstheme="minorHAnsi"/>
                <w:kern w:val="1"/>
                <w:lang w:eastAsia="ar-SA"/>
              </w:rPr>
            </w:pPr>
          </w:p>
        </w:tc>
      </w:tr>
      <w:tr w:rsidR="00887B88" w:rsidRPr="00082647" w:rsidTr="00082647">
        <w:trPr>
          <w:trHeight w:val="7229"/>
        </w:trPr>
        <w:tc>
          <w:tcPr>
            <w:tcW w:w="375" w:type="dxa"/>
            <w:shd w:val="clear" w:color="auto" w:fill="FFFFFF"/>
            <w:vAlign w:val="center"/>
          </w:tcPr>
          <w:p w:rsidR="00887B88" w:rsidRPr="00082647" w:rsidRDefault="00887B88" w:rsidP="00A01F88">
            <w:pPr>
              <w:jc w:val="center"/>
              <w:rPr>
                <w:rFonts w:cstheme="minorHAnsi"/>
                <w:kern w:val="1"/>
                <w:lang w:eastAsia="ar-SA"/>
              </w:rPr>
            </w:pPr>
            <w:r w:rsidRPr="00082647">
              <w:rPr>
                <w:rFonts w:cstheme="minorHAnsi"/>
                <w:kern w:val="1"/>
                <w:lang w:eastAsia="ar-SA"/>
              </w:rPr>
              <w:lastRenderedPageBreak/>
              <w:t>2</w:t>
            </w:r>
          </w:p>
        </w:tc>
        <w:tc>
          <w:tcPr>
            <w:tcW w:w="5716" w:type="dxa"/>
            <w:shd w:val="clear" w:color="auto" w:fill="FFFFFF"/>
            <w:vAlign w:val="center"/>
          </w:tcPr>
          <w:p w:rsidR="00887B88" w:rsidRPr="00082647" w:rsidRDefault="00887B88" w:rsidP="00082647">
            <w:pPr>
              <w:widowControl w:val="0"/>
              <w:jc w:val="both"/>
              <w:rPr>
                <w:rFonts w:eastAsia="Times New Roman" w:cstheme="minorHAnsi"/>
                <w:b/>
                <w:bCs/>
                <w:color w:val="000000"/>
                <w:lang w:eastAsia="pl-PL"/>
              </w:rPr>
            </w:pPr>
            <w:r w:rsidRPr="00082647">
              <w:rPr>
                <w:rFonts w:eastAsia="SimSun" w:cstheme="minorHAnsi"/>
                <w:b/>
                <w:bCs/>
                <w:color w:val="000000"/>
              </w:rPr>
              <w:t>Zestaw drenów bursztynowy wielodrożny</w:t>
            </w:r>
            <w:r w:rsidRPr="00082647">
              <w:rPr>
                <w:rFonts w:eastAsia="SimSun" w:cstheme="minorHAnsi"/>
                <w:color w:val="000000"/>
              </w:rPr>
              <w:t xml:space="preserve"> (nie zawierających PCV i DEHP) do podaży leków cytostatycznych. Dren główny do podłączenia z płynem do przepłukania linii i możliwość podłączenia do niego 1 opakowania z lekiem cytostatycznym. Podaż metodą grawitacyjną; linia główna do przepłukiwania po każdorazowym podaniu leku bez konieczności rozłączenia systemu; 2 zastawki bezigłowe zabezpieczone dodatkowo korkami zapobiegając przed koniecznością dezynfekcji portu podczas pierwszego podłączenia .Jedna do podłączenia krótkich drenów do przygotowania leków ( kompatybilne z krótkimi drenami ) - oraz dodatkową zastawką umiejscowioną 20-30 cm od miejsca podłączenia do pacjenta - do podaży bolusa. Ergonomiczna komora kroplowa ,wykonana z przeziernego materiału ; posiadająca filtr na dnie komory kroplowej, zabezpieczający przed dostaniem się powietrza do drenu po opróżnieniu opakowania z lekiem lub płynem. Ostry kolec, wyposażony w odpowietrznik z filtrem zabezpieczonym klapką. Zacisk rolkowy z miejscem na dren. Filtr hydrofobowy na końcu drenu, zabezpieczający przed wyciekaniem płynu z drenu podczas jego wypełniania oraz zastawką jednokierunkową zapobiegającą cofaniu się krwi do aparatu. Wymaga się, aby dołączyć </w:t>
            </w:r>
            <w:r w:rsidR="001C58A5" w:rsidRPr="00082647">
              <w:rPr>
                <w:rFonts w:eastAsia="SimSun" w:cstheme="minorHAnsi"/>
                <w:color w:val="000000"/>
              </w:rPr>
              <w:t>do oferty test potwierdzający, ż</w:t>
            </w:r>
            <w:r w:rsidRPr="00082647">
              <w:rPr>
                <w:rFonts w:eastAsia="SimSun" w:cstheme="minorHAnsi"/>
                <w:color w:val="000000"/>
              </w:rPr>
              <w:t>e linie do przygotowania i podaży leków stanowią zamknięt</w:t>
            </w:r>
            <w:r w:rsidR="001C58A5" w:rsidRPr="00082647">
              <w:rPr>
                <w:rFonts w:eastAsia="SimSun" w:cstheme="minorHAnsi"/>
                <w:color w:val="000000"/>
              </w:rPr>
              <w:t>y system w</w:t>
            </w:r>
            <w:r w:rsidRPr="00082647">
              <w:rPr>
                <w:rFonts w:eastAsia="SimSun" w:cstheme="minorHAnsi"/>
                <w:color w:val="000000"/>
              </w:rPr>
              <w:t xml:space="preserve"> myśl definicji NIOSH i zapobiegają uwalnianiu się niebezpiecznych zanieczyszczeń do otoczenia.</w:t>
            </w:r>
          </w:p>
        </w:tc>
        <w:tc>
          <w:tcPr>
            <w:tcW w:w="787" w:type="dxa"/>
            <w:shd w:val="clear" w:color="auto" w:fill="FFFFFF"/>
            <w:vAlign w:val="center"/>
          </w:tcPr>
          <w:p w:rsidR="00887B88" w:rsidRPr="00082647" w:rsidRDefault="00887B88" w:rsidP="00A01F88">
            <w:pPr>
              <w:jc w:val="center"/>
              <w:rPr>
                <w:rFonts w:cstheme="minorHAnsi"/>
                <w:kern w:val="1"/>
                <w:lang w:eastAsia="ar-SA"/>
              </w:rPr>
            </w:pPr>
            <w:r w:rsidRPr="00082647">
              <w:rPr>
                <w:rFonts w:cstheme="minorHAnsi"/>
                <w:kern w:val="1"/>
                <w:lang w:eastAsia="ar-SA"/>
              </w:rPr>
              <w:t>szt.</w:t>
            </w:r>
          </w:p>
        </w:tc>
        <w:tc>
          <w:tcPr>
            <w:tcW w:w="993" w:type="dxa"/>
            <w:shd w:val="clear" w:color="auto" w:fill="FFFFFF"/>
            <w:vAlign w:val="center"/>
          </w:tcPr>
          <w:p w:rsidR="00887B88" w:rsidRPr="00082647" w:rsidRDefault="00A659B8" w:rsidP="00DB578E">
            <w:pPr>
              <w:rPr>
                <w:rFonts w:cstheme="minorHAnsi"/>
                <w:kern w:val="1"/>
                <w:lang w:eastAsia="ar-SA"/>
              </w:rPr>
            </w:pPr>
            <w:r>
              <w:rPr>
                <w:rFonts w:cstheme="minorHAnsi"/>
                <w:kern w:val="1"/>
                <w:lang w:eastAsia="ar-SA"/>
              </w:rPr>
              <w:t>20</w:t>
            </w:r>
            <w:r w:rsidR="00887B88" w:rsidRPr="00082647">
              <w:rPr>
                <w:rFonts w:cstheme="minorHAnsi"/>
                <w:kern w:val="1"/>
                <w:lang w:eastAsia="ar-SA"/>
              </w:rPr>
              <w:t>0</w:t>
            </w:r>
          </w:p>
        </w:tc>
        <w:tc>
          <w:tcPr>
            <w:tcW w:w="1275" w:type="dxa"/>
            <w:shd w:val="clear" w:color="auto" w:fill="FFFFFF"/>
            <w:vAlign w:val="center"/>
          </w:tcPr>
          <w:p w:rsidR="00887B88" w:rsidRPr="00082647" w:rsidRDefault="00887B88" w:rsidP="00A01F88">
            <w:pPr>
              <w:snapToGrid w:val="0"/>
              <w:rPr>
                <w:rFonts w:cstheme="minorHAnsi"/>
                <w:kern w:val="1"/>
                <w:lang w:eastAsia="ar-SA"/>
              </w:rPr>
            </w:pPr>
          </w:p>
        </w:tc>
        <w:tc>
          <w:tcPr>
            <w:tcW w:w="1418" w:type="dxa"/>
            <w:shd w:val="clear" w:color="auto" w:fill="FFFFFF"/>
            <w:vAlign w:val="center"/>
          </w:tcPr>
          <w:p w:rsidR="00887B88" w:rsidRPr="00082647" w:rsidRDefault="00887B88" w:rsidP="00A01F88">
            <w:pPr>
              <w:snapToGrid w:val="0"/>
              <w:rPr>
                <w:rFonts w:cstheme="minorHAnsi"/>
                <w:kern w:val="1"/>
                <w:lang w:eastAsia="ar-SA"/>
              </w:rPr>
            </w:pPr>
          </w:p>
        </w:tc>
        <w:tc>
          <w:tcPr>
            <w:tcW w:w="1559" w:type="dxa"/>
            <w:shd w:val="clear" w:color="auto" w:fill="FFFFFF"/>
          </w:tcPr>
          <w:p w:rsidR="00887B88" w:rsidRPr="00082647" w:rsidRDefault="00887B88" w:rsidP="00A01F88">
            <w:pPr>
              <w:snapToGrid w:val="0"/>
              <w:rPr>
                <w:rFonts w:cstheme="minorHAnsi"/>
                <w:kern w:val="1"/>
                <w:lang w:eastAsia="ar-SA"/>
              </w:rPr>
            </w:pPr>
          </w:p>
        </w:tc>
        <w:tc>
          <w:tcPr>
            <w:tcW w:w="1946" w:type="dxa"/>
            <w:shd w:val="clear" w:color="auto" w:fill="FFFFFF"/>
            <w:vAlign w:val="center"/>
          </w:tcPr>
          <w:p w:rsidR="00887B88" w:rsidRPr="00082647" w:rsidRDefault="00887B88" w:rsidP="00A01F88">
            <w:pPr>
              <w:snapToGrid w:val="0"/>
              <w:rPr>
                <w:rFonts w:cstheme="minorHAnsi"/>
                <w:kern w:val="1"/>
                <w:lang w:eastAsia="ar-SA"/>
              </w:rPr>
            </w:pPr>
          </w:p>
        </w:tc>
      </w:tr>
      <w:tr w:rsidR="00887B88" w:rsidRPr="00082647" w:rsidTr="00887B88">
        <w:trPr>
          <w:trHeight w:val="238"/>
        </w:trPr>
        <w:tc>
          <w:tcPr>
            <w:tcW w:w="375" w:type="dxa"/>
            <w:shd w:val="clear" w:color="auto" w:fill="FFFFFF"/>
            <w:vAlign w:val="center"/>
          </w:tcPr>
          <w:p w:rsidR="00887B88" w:rsidRPr="00082647" w:rsidRDefault="00887B88" w:rsidP="00A01F88">
            <w:pPr>
              <w:jc w:val="center"/>
              <w:rPr>
                <w:rFonts w:cstheme="minorHAnsi"/>
                <w:kern w:val="1"/>
                <w:lang w:eastAsia="ar-SA"/>
              </w:rPr>
            </w:pPr>
            <w:r w:rsidRPr="00082647">
              <w:rPr>
                <w:rFonts w:cstheme="minorHAnsi"/>
                <w:kern w:val="1"/>
                <w:lang w:eastAsia="ar-SA"/>
              </w:rPr>
              <w:t>3</w:t>
            </w:r>
          </w:p>
        </w:tc>
        <w:tc>
          <w:tcPr>
            <w:tcW w:w="5716" w:type="dxa"/>
            <w:shd w:val="clear" w:color="auto" w:fill="FFFFFF"/>
            <w:vAlign w:val="center"/>
          </w:tcPr>
          <w:p w:rsidR="00887B88" w:rsidRPr="00082647" w:rsidRDefault="00887B88" w:rsidP="00887B88">
            <w:pPr>
              <w:widowControl w:val="0"/>
              <w:jc w:val="both"/>
              <w:rPr>
                <w:rFonts w:eastAsia="SimSun" w:cstheme="minorHAnsi"/>
                <w:b/>
                <w:bCs/>
                <w:color w:val="000000"/>
              </w:rPr>
            </w:pPr>
            <w:r w:rsidRPr="00082647">
              <w:rPr>
                <w:rFonts w:cstheme="minorHAnsi"/>
                <w:b/>
                <w:bCs/>
              </w:rPr>
              <w:t>Zestaw drenów przezroczysty wielodrożny</w:t>
            </w:r>
            <w:r w:rsidRPr="00082647">
              <w:rPr>
                <w:rFonts w:cstheme="minorHAnsi"/>
              </w:rPr>
              <w:t xml:space="preserve"> (nie zawierających PCV i DEHP) do podaży leków cytostatycznych. Dren główny do połączenia z płynem do przepłukania linii i możliwość podłączenia do niego 2 opakowań z lekiem cytostatycznym. Podaż metodą grawitacyjną; linia główna do przepłukiwania po </w:t>
            </w:r>
            <w:r w:rsidRPr="00082647">
              <w:rPr>
                <w:rFonts w:cstheme="minorHAnsi"/>
              </w:rPr>
              <w:lastRenderedPageBreak/>
              <w:t xml:space="preserve">każdorazowym podaniu leku bez konieczności rozłączania systemu; 3 zastawki bezigłowe zabezpieczone dodatkowo korkami </w:t>
            </w:r>
            <w:proofErr w:type="spellStart"/>
            <w:r w:rsidRPr="00082647">
              <w:rPr>
                <w:rFonts w:cstheme="minorHAnsi"/>
              </w:rPr>
              <w:t>luer</w:t>
            </w:r>
            <w:proofErr w:type="spellEnd"/>
            <w:r w:rsidRPr="00082647">
              <w:rPr>
                <w:rFonts w:cstheme="minorHAnsi"/>
              </w:rPr>
              <w:t xml:space="preserve">-lock. Dwie do podłączenia krótkich drenów do przygotowania leków (kompatybilne z </w:t>
            </w:r>
            <w:proofErr w:type="spellStart"/>
            <w:r w:rsidRPr="00082647">
              <w:rPr>
                <w:rFonts w:cstheme="minorHAnsi"/>
              </w:rPr>
              <w:t>CytoSet</w:t>
            </w:r>
            <w:proofErr w:type="spellEnd"/>
            <w:r w:rsidRPr="00082647">
              <w:rPr>
                <w:rFonts w:cstheme="minorHAnsi"/>
              </w:rPr>
              <w:t xml:space="preserve"> Mix) -oraz dodatkową zastawką umiejscowioną nie dalej niż 25 cm od miejsca podłączenia do pacjenta -do podaży bolusa. Ergonomiczna dwuczęściowa komora kroplowa, wykonana z bardzo przezroczystego materiału ,posiadająca filtr hydrofilny typu </w:t>
            </w:r>
            <w:proofErr w:type="spellStart"/>
            <w:r w:rsidRPr="00082647">
              <w:rPr>
                <w:rFonts w:cstheme="minorHAnsi"/>
              </w:rPr>
              <w:t>AirStop</w:t>
            </w:r>
            <w:proofErr w:type="spellEnd"/>
            <w:r w:rsidRPr="00082647">
              <w:rPr>
                <w:rFonts w:cstheme="minorHAnsi"/>
              </w:rPr>
              <w:t xml:space="preserve"> na dnie komory kroplowej, zabezpieczający  przed dostaniem się powietrza do drenu po  opróżnieniu opakowania z lekiem lub płynem. Ostry kolec, wyposażony w odpowietrznik z filtrem zabezpieczony klapką. Zacisk rolkowy z miejscem na kolec. Filtr hydrofobowy na końcu drenu, zabezpieczający przed wyciekaniem płynu z drenu podczas jego wypełniania. Na życzenie Zamawiającego dostarczenie drenu do podaży leków za pomocą pomp tego samego producenta. </w:t>
            </w:r>
            <w:r w:rsidRPr="00082647">
              <w:rPr>
                <w:rFonts w:eastAsia="SimSun" w:cstheme="minorHAnsi"/>
                <w:color w:val="000000"/>
              </w:rPr>
              <w:t>Wymaga się aby dołączyć do oferty test potwierdzający że linie do przygotowania i podaży leków stanowią zamknięty system w myśl definicji NIOSH i zapobiegają uwalnianiu się niebezpiecznych zanieczyszczeń do otoczenia.</w:t>
            </w:r>
          </w:p>
        </w:tc>
        <w:tc>
          <w:tcPr>
            <w:tcW w:w="787" w:type="dxa"/>
            <w:shd w:val="clear" w:color="auto" w:fill="FFFFFF"/>
            <w:vAlign w:val="center"/>
          </w:tcPr>
          <w:p w:rsidR="00887B88" w:rsidRPr="00082647" w:rsidRDefault="00887B88" w:rsidP="00A01F88">
            <w:pPr>
              <w:jc w:val="center"/>
              <w:rPr>
                <w:rFonts w:cstheme="minorHAnsi"/>
                <w:kern w:val="1"/>
                <w:lang w:eastAsia="ar-SA"/>
              </w:rPr>
            </w:pPr>
            <w:r w:rsidRPr="00082647">
              <w:rPr>
                <w:rFonts w:cstheme="minorHAnsi"/>
                <w:kern w:val="1"/>
                <w:lang w:eastAsia="ar-SA"/>
              </w:rPr>
              <w:lastRenderedPageBreak/>
              <w:t xml:space="preserve">szt. </w:t>
            </w:r>
          </w:p>
        </w:tc>
        <w:tc>
          <w:tcPr>
            <w:tcW w:w="993" w:type="dxa"/>
            <w:shd w:val="clear" w:color="auto" w:fill="FFFFFF"/>
            <w:vAlign w:val="center"/>
          </w:tcPr>
          <w:p w:rsidR="00887B88" w:rsidRPr="00082647" w:rsidRDefault="00887B88" w:rsidP="00DB578E">
            <w:pPr>
              <w:rPr>
                <w:rFonts w:cstheme="minorHAnsi"/>
                <w:kern w:val="1"/>
                <w:lang w:eastAsia="ar-SA"/>
              </w:rPr>
            </w:pPr>
            <w:r w:rsidRPr="00082647">
              <w:rPr>
                <w:rFonts w:cstheme="minorHAnsi"/>
                <w:kern w:val="1"/>
                <w:lang w:eastAsia="ar-SA"/>
              </w:rPr>
              <w:t>50</w:t>
            </w:r>
          </w:p>
        </w:tc>
        <w:tc>
          <w:tcPr>
            <w:tcW w:w="1275" w:type="dxa"/>
            <w:shd w:val="clear" w:color="auto" w:fill="FFFFFF"/>
            <w:vAlign w:val="center"/>
          </w:tcPr>
          <w:p w:rsidR="00887B88" w:rsidRPr="00082647" w:rsidRDefault="00887B88" w:rsidP="00A01F88">
            <w:pPr>
              <w:snapToGrid w:val="0"/>
              <w:rPr>
                <w:rFonts w:cstheme="minorHAnsi"/>
                <w:kern w:val="1"/>
                <w:lang w:eastAsia="ar-SA"/>
              </w:rPr>
            </w:pPr>
          </w:p>
        </w:tc>
        <w:tc>
          <w:tcPr>
            <w:tcW w:w="1418" w:type="dxa"/>
            <w:shd w:val="clear" w:color="auto" w:fill="FFFFFF"/>
            <w:vAlign w:val="center"/>
          </w:tcPr>
          <w:p w:rsidR="00887B88" w:rsidRPr="00082647" w:rsidRDefault="00887B88" w:rsidP="00A01F88">
            <w:pPr>
              <w:snapToGrid w:val="0"/>
              <w:rPr>
                <w:rFonts w:cstheme="minorHAnsi"/>
                <w:kern w:val="1"/>
                <w:lang w:eastAsia="ar-SA"/>
              </w:rPr>
            </w:pPr>
          </w:p>
        </w:tc>
        <w:tc>
          <w:tcPr>
            <w:tcW w:w="1559" w:type="dxa"/>
            <w:shd w:val="clear" w:color="auto" w:fill="FFFFFF"/>
          </w:tcPr>
          <w:p w:rsidR="00887B88" w:rsidRPr="00082647" w:rsidRDefault="00887B88" w:rsidP="00A01F88">
            <w:pPr>
              <w:snapToGrid w:val="0"/>
              <w:rPr>
                <w:rFonts w:cstheme="minorHAnsi"/>
                <w:kern w:val="1"/>
                <w:lang w:eastAsia="ar-SA"/>
              </w:rPr>
            </w:pPr>
          </w:p>
        </w:tc>
        <w:tc>
          <w:tcPr>
            <w:tcW w:w="1946" w:type="dxa"/>
            <w:shd w:val="clear" w:color="auto" w:fill="FFFFFF"/>
            <w:vAlign w:val="center"/>
          </w:tcPr>
          <w:p w:rsidR="00887B88" w:rsidRPr="00082647" w:rsidRDefault="00887B88" w:rsidP="00A01F88">
            <w:pPr>
              <w:snapToGrid w:val="0"/>
              <w:rPr>
                <w:rFonts w:cstheme="minorHAnsi"/>
                <w:kern w:val="1"/>
                <w:lang w:eastAsia="ar-SA"/>
              </w:rPr>
            </w:pPr>
          </w:p>
        </w:tc>
      </w:tr>
      <w:tr w:rsidR="00887B88" w:rsidRPr="00082647" w:rsidTr="00082647">
        <w:trPr>
          <w:trHeight w:val="4394"/>
        </w:trPr>
        <w:tc>
          <w:tcPr>
            <w:tcW w:w="375" w:type="dxa"/>
            <w:shd w:val="clear" w:color="auto" w:fill="FFFFFF"/>
            <w:vAlign w:val="center"/>
          </w:tcPr>
          <w:p w:rsidR="00887B88" w:rsidRPr="00082647" w:rsidRDefault="00887B88" w:rsidP="00A01F88">
            <w:pPr>
              <w:jc w:val="center"/>
              <w:rPr>
                <w:rFonts w:cstheme="minorHAnsi"/>
                <w:kern w:val="1"/>
                <w:lang w:eastAsia="ar-SA"/>
              </w:rPr>
            </w:pPr>
            <w:r w:rsidRPr="00082647">
              <w:rPr>
                <w:rFonts w:cstheme="minorHAnsi"/>
                <w:kern w:val="1"/>
                <w:lang w:eastAsia="ar-SA"/>
              </w:rPr>
              <w:lastRenderedPageBreak/>
              <w:t>4</w:t>
            </w:r>
          </w:p>
        </w:tc>
        <w:tc>
          <w:tcPr>
            <w:tcW w:w="5716" w:type="dxa"/>
            <w:shd w:val="clear" w:color="auto" w:fill="FFFFFF"/>
            <w:vAlign w:val="center"/>
          </w:tcPr>
          <w:p w:rsidR="00887B88" w:rsidRPr="00082647" w:rsidRDefault="00887B88" w:rsidP="00887B88">
            <w:pPr>
              <w:widowControl w:val="0"/>
              <w:jc w:val="both"/>
              <w:rPr>
                <w:rFonts w:cstheme="minorHAnsi"/>
                <w:b/>
                <w:bCs/>
              </w:rPr>
            </w:pPr>
            <w:r w:rsidRPr="00082647">
              <w:rPr>
                <w:rFonts w:cstheme="minorHAnsi"/>
                <w:b/>
                <w:bCs/>
              </w:rPr>
              <w:t>Zestaw drenów przezroczysty wielodrożny</w:t>
            </w:r>
            <w:r w:rsidRPr="00082647">
              <w:rPr>
                <w:rFonts w:cstheme="minorHAnsi"/>
              </w:rPr>
              <w:t xml:space="preserve"> (nie zawierających PCV i DEHP) do podaży leków cytostatycznych. Dren główny do połączenia z płynem do przepłukania linii i możliwość podłączenia do niego 4 opakowań z lekiem cytostatycznym. Podaż metodą grawitacyjną ; linia główna do przepłukiwania po każdorazowym podaniu leku bez konieczności rozłączania systemu; 5 zastawek bezigłowych zabezpieczone dodatkowo korkami </w:t>
            </w:r>
            <w:proofErr w:type="spellStart"/>
            <w:r w:rsidRPr="00082647">
              <w:rPr>
                <w:rFonts w:cstheme="minorHAnsi"/>
              </w:rPr>
              <w:t>luer</w:t>
            </w:r>
            <w:proofErr w:type="spellEnd"/>
            <w:r w:rsidRPr="00082647">
              <w:rPr>
                <w:rFonts w:cstheme="minorHAnsi"/>
              </w:rPr>
              <w:t xml:space="preserve">-lock. Cztery do podłączenia krótkich drenów do przygotowania leków (kompatybilne z </w:t>
            </w:r>
            <w:proofErr w:type="spellStart"/>
            <w:r w:rsidRPr="00082647">
              <w:rPr>
                <w:rFonts w:cstheme="minorHAnsi"/>
              </w:rPr>
              <w:t>CytoSet</w:t>
            </w:r>
            <w:proofErr w:type="spellEnd"/>
            <w:r w:rsidRPr="00082647">
              <w:rPr>
                <w:rFonts w:cstheme="minorHAnsi"/>
              </w:rPr>
              <w:t xml:space="preserve"> Mix) - oraz dodatkową zastawką umiejscowioną nie dalej niż 25 cm od miejsca podłączenia do pacjenta -do podaży bolusa. Ergonomiczna dwuczęściowa komora kroplowa, wykonana z bardzo przezroczystego materiału, posiadając filtr hydrofilny typu </w:t>
            </w:r>
            <w:proofErr w:type="spellStart"/>
            <w:r w:rsidRPr="00082647">
              <w:rPr>
                <w:rFonts w:cstheme="minorHAnsi"/>
              </w:rPr>
              <w:t>AirStop</w:t>
            </w:r>
            <w:proofErr w:type="spellEnd"/>
            <w:r w:rsidRPr="00082647">
              <w:rPr>
                <w:rFonts w:cstheme="minorHAnsi"/>
              </w:rPr>
              <w:t xml:space="preserve"> na dnie komory kroplowej, zabezpieczający  przed dostaniem się powietrza do drenu po  opróżnieniu opakowania z lekiem lub płynem. Ostry kolec, wyposażony w odpowietrznik z filtrem zabezpieczony klapką. Zacisk rolkowy z miejscem na kolec. Filtr hydrofobowy na końcu drenu, zabezpieczający przed wyciekaniem płynu z drenu podczas jego wypełniania. Na życzenie Zamawiającego dostarczenie drenu do podaży leków za pomocą pomp tego samego producenta. </w:t>
            </w:r>
            <w:r w:rsidRPr="00082647">
              <w:rPr>
                <w:rFonts w:eastAsia="SimSun" w:cstheme="minorHAnsi"/>
                <w:color w:val="000000"/>
              </w:rPr>
              <w:t>Wymaga się aby dołączyć do oferty test potwierdzający, że linie do przygotowania i podaży leków stanowią zamknięty system w myśl definicji NIOSH i zapobiegają uwalnianiu się niebezpiecznych zanieczyszczeń do otoczenia.</w:t>
            </w:r>
          </w:p>
        </w:tc>
        <w:tc>
          <w:tcPr>
            <w:tcW w:w="787" w:type="dxa"/>
            <w:shd w:val="clear" w:color="auto" w:fill="FFFFFF"/>
            <w:vAlign w:val="center"/>
          </w:tcPr>
          <w:p w:rsidR="00887B88" w:rsidRPr="00082647" w:rsidRDefault="00887B88" w:rsidP="00A01F88">
            <w:pPr>
              <w:jc w:val="center"/>
              <w:rPr>
                <w:rFonts w:cstheme="minorHAnsi"/>
                <w:kern w:val="1"/>
                <w:lang w:eastAsia="ar-SA"/>
              </w:rPr>
            </w:pPr>
            <w:r w:rsidRPr="00082647">
              <w:rPr>
                <w:rFonts w:cstheme="minorHAnsi"/>
                <w:kern w:val="1"/>
                <w:lang w:eastAsia="ar-SA"/>
              </w:rPr>
              <w:t>Szt.</w:t>
            </w:r>
          </w:p>
        </w:tc>
        <w:tc>
          <w:tcPr>
            <w:tcW w:w="993" w:type="dxa"/>
            <w:shd w:val="clear" w:color="auto" w:fill="FFFFFF"/>
            <w:vAlign w:val="center"/>
          </w:tcPr>
          <w:p w:rsidR="00887B88" w:rsidRPr="00082647" w:rsidRDefault="00887B88" w:rsidP="00DB578E">
            <w:pPr>
              <w:rPr>
                <w:rFonts w:cstheme="minorHAnsi"/>
                <w:kern w:val="1"/>
                <w:lang w:eastAsia="ar-SA"/>
              </w:rPr>
            </w:pPr>
            <w:r w:rsidRPr="00082647">
              <w:rPr>
                <w:rFonts w:cstheme="minorHAnsi"/>
                <w:kern w:val="1"/>
                <w:lang w:eastAsia="ar-SA"/>
              </w:rPr>
              <w:t>50</w:t>
            </w:r>
          </w:p>
        </w:tc>
        <w:tc>
          <w:tcPr>
            <w:tcW w:w="1275" w:type="dxa"/>
            <w:shd w:val="clear" w:color="auto" w:fill="FFFFFF"/>
            <w:vAlign w:val="center"/>
          </w:tcPr>
          <w:p w:rsidR="00887B88" w:rsidRPr="00082647" w:rsidRDefault="00887B88" w:rsidP="00A01F88">
            <w:pPr>
              <w:snapToGrid w:val="0"/>
              <w:rPr>
                <w:rFonts w:cstheme="minorHAnsi"/>
                <w:kern w:val="1"/>
                <w:lang w:eastAsia="ar-SA"/>
              </w:rPr>
            </w:pPr>
          </w:p>
        </w:tc>
        <w:tc>
          <w:tcPr>
            <w:tcW w:w="1418" w:type="dxa"/>
            <w:shd w:val="clear" w:color="auto" w:fill="FFFFFF"/>
            <w:vAlign w:val="center"/>
          </w:tcPr>
          <w:p w:rsidR="00887B88" w:rsidRPr="00082647" w:rsidRDefault="00887B88" w:rsidP="00A01F88">
            <w:pPr>
              <w:snapToGrid w:val="0"/>
              <w:rPr>
                <w:rFonts w:cstheme="minorHAnsi"/>
                <w:kern w:val="1"/>
                <w:lang w:eastAsia="ar-SA"/>
              </w:rPr>
            </w:pPr>
          </w:p>
        </w:tc>
        <w:tc>
          <w:tcPr>
            <w:tcW w:w="1559" w:type="dxa"/>
            <w:shd w:val="clear" w:color="auto" w:fill="FFFFFF"/>
          </w:tcPr>
          <w:p w:rsidR="00887B88" w:rsidRPr="00082647" w:rsidRDefault="00887B88" w:rsidP="00A01F88">
            <w:pPr>
              <w:snapToGrid w:val="0"/>
              <w:rPr>
                <w:rFonts w:cstheme="minorHAnsi"/>
                <w:kern w:val="1"/>
                <w:lang w:eastAsia="ar-SA"/>
              </w:rPr>
            </w:pPr>
          </w:p>
        </w:tc>
        <w:tc>
          <w:tcPr>
            <w:tcW w:w="1946" w:type="dxa"/>
            <w:shd w:val="clear" w:color="auto" w:fill="FFFFFF"/>
            <w:vAlign w:val="center"/>
          </w:tcPr>
          <w:p w:rsidR="00887B88" w:rsidRPr="00082647" w:rsidRDefault="00887B88" w:rsidP="00A01F88">
            <w:pPr>
              <w:snapToGrid w:val="0"/>
              <w:rPr>
                <w:rFonts w:cstheme="minorHAnsi"/>
                <w:kern w:val="1"/>
                <w:lang w:eastAsia="ar-SA"/>
              </w:rPr>
            </w:pPr>
          </w:p>
        </w:tc>
      </w:tr>
      <w:tr w:rsidR="00887B88" w:rsidRPr="00082647" w:rsidTr="00082647">
        <w:trPr>
          <w:trHeight w:val="1417"/>
        </w:trPr>
        <w:tc>
          <w:tcPr>
            <w:tcW w:w="375" w:type="dxa"/>
            <w:shd w:val="clear" w:color="auto" w:fill="FFFFFF"/>
            <w:vAlign w:val="center"/>
          </w:tcPr>
          <w:p w:rsidR="00887B88" w:rsidRPr="00082647" w:rsidRDefault="00887B88" w:rsidP="00A01F88">
            <w:pPr>
              <w:jc w:val="center"/>
              <w:rPr>
                <w:rFonts w:cstheme="minorHAnsi"/>
                <w:kern w:val="1"/>
                <w:lang w:eastAsia="ar-SA"/>
              </w:rPr>
            </w:pPr>
            <w:r w:rsidRPr="00082647">
              <w:rPr>
                <w:rFonts w:cstheme="minorHAnsi"/>
                <w:kern w:val="1"/>
                <w:lang w:eastAsia="ar-SA"/>
              </w:rPr>
              <w:t>5</w:t>
            </w:r>
          </w:p>
        </w:tc>
        <w:tc>
          <w:tcPr>
            <w:tcW w:w="5716" w:type="dxa"/>
            <w:shd w:val="clear" w:color="auto" w:fill="FFFFFF"/>
            <w:vAlign w:val="center"/>
          </w:tcPr>
          <w:p w:rsidR="00887B88" w:rsidRPr="00082647" w:rsidRDefault="00887B88" w:rsidP="00887B88">
            <w:pPr>
              <w:widowControl w:val="0"/>
              <w:jc w:val="both"/>
              <w:rPr>
                <w:rFonts w:cstheme="minorHAnsi"/>
                <w:b/>
                <w:bCs/>
              </w:rPr>
            </w:pPr>
            <w:r w:rsidRPr="00082647">
              <w:rPr>
                <w:rFonts w:cstheme="minorHAnsi"/>
                <w:b/>
                <w:bCs/>
              </w:rPr>
              <w:t>Zestaw drenów bursztynowy wielodrożny</w:t>
            </w:r>
            <w:r w:rsidRPr="00082647">
              <w:rPr>
                <w:rFonts w:cstheme="minorHAnsi"/>
              </w:rPr>
              <w:t xml:space="preserve"> (nie zawierających PCV i DEHP) do podaży leków cytostatycznych. Dren główny do połączenia z płynem do przepłukania linii i możliwość podłączenia do niego 3 opakowań z lekiem cytostatycznym . Podaż metodą grawitacyjną; linia główna do przepłukiwania po </w:t>
            </w:r>
            <w:r w:rsidRPr="00082647">
              <w:rPr>
                <w:rFonts w:cstheme="minorHAnsi"/>
              </w:rPr>
              <w:lastRenderedPageBreak/>
              <w:t xml:space="preserve">każdorazowym podaniu leku bez konieczności rozłączania systemu; 4 zastawki bezigłowe zabezpieczone dodatkowo korkami zapobiegając przed koniecznością dezynfekcji portu podczas pierwszego podłączenia .Trzy do podłączenia krótkich drenów do przygotowania leków (kompatybilne z krótkimi drenami ) -oraz dodatkową zastawką umiejscowioną 20-30 cm od miejsca podłączenia do pacjenta -do podaży bolusa. Ergonomiczna komora kroplowa, wykonana z przeziernego materiału; posiadająca filtr na dnie komory kroplowej, zabezpieczający  przed dostaniem się powietrza do drenu po opróżnieniu opakowania z lekiem lub płynem. Ostry kolec, wyposażony w odpowietrznik z filtrem zabezpieczonym klapką. Zacisk rolkowy z miejscem na dren. Filtr hydrofobowy na końcu drenu ,zabezpieczający przed wyciekaniem płynu z drenu podczas jego wypełniania oraz zastawką jednokierunkową zapobiegającą cofaniu się krwi do aparatu. Wymaga się aby dołączyć do oferty test potwierdzający, że linie do przygotowania i podaży leków ,stanowią zamknięty system w myśl </w:t>
            </w:r>
            <w:r w:rsidRPr="00082647">
              <w:rPr>
                <w:rFonts w:eastAsia="SimSun" w:cstheme="minorHAnsi"/>
                <w:color w:val="000000"/>
              </w:rPr>
              <w:t>definicji NIOSH i zapobiegają uwalnianiu się niebezpiecznych zanieczyszczeń do otoczenia.</w:t>
            </w:r>
          </w:p>
        </w:tc>
        <w:tc>
          <w:tcPr>
            <w:tcW w:w="787" w:type="dxa"/>
            <w:shd w:val="clear" w:color="auto" w:fill="FFFFFF"/>
            <w:vAlign w:val="center"/>
          </w:tcPr>
          <w:p w:rsidR="00887B88" w:rsidRPr="00082647" w:rsidRDefault="00887B88" w:rsidP="00A01F88">
            <w:pPr>
              <w:jc w:val="center"/>
              <w:rPr>
                <w:rFonts w:cstheme="minorHAnsi"/>
                <w:kern w:val="1"/>
                <w:lang w:eastAsia="ar-SA"/>
              </w:rPr>
            </w:pPr>
            <w:r w:rsidRPr="00082647">
              <w:rPr>
                <w:rFonts w:cstheme="minorHAnsi"/>
                <w:kern w:val="1"/>
                <w:lang w:eastAsia="ar-SA"/>
              </w:rPr>
              <w:lastRenderedPageBreak/>
              <w:t>Szt.</w:t>
            </w:r>
          </w:p>
        </w:tc>
        <w:tc>
          <w:tcPr>
            <w:tcW w:w="993" w:type="dxa"/>
            <w:shd w:val="clear" w:color="auto" w:fill="FFFFFF"/>
            <w:vAlign w:val="center"/>
          </w:tcPr>
          <w:p w:rsidR="00887B88" w:rsidRPr="00082647" w:rsidRDefault="00887B88" w:rsidP="00DB578E">
            <w:pPr>
              <w:rPr>
                <w:rFonts w:cstheme="minorHAnsi"/>
                <w:kern w:val="1"/>
                <w:lang w:eastAsia="ar-SA"/>
              </w:rPr>
            </w:pPr>
            <w:r w:rsidRPr="00082647">
              <w:rPr>
                <w:rFonts w:cstheme="minorHAnsi"/>
                <w:kern w:val="1"/>
                <w:lang w:eastAsia="ar-SA"/>
              </w:rPr>
              <w:t>50</w:t>
            </w:r>
          </w:p>
        </w:tc>
        <w:tc>
          <w:tcPr>
            <w:tcW w:w="1275" w:type="dxa"/>
            <w:shd w:val="clear" w:color="auto" w:fill="FFFFFF"/>
            <w:vAlign w:val="center"/>
          </w:tcPr>
          <w:p w:rsidR="00887B88" w:rsidRPr="00082647" w:rsidRDefault="00887B88" w:rsidP="00A01F88">
            <w:pPr>
              <w:snapToGrid w:val="0"/>
              <w:rPr>
                <w:rFonts w:cstheme="minorHAnsi"/>
                <w:kern w:val="1"/>
                <w:lang w:eastAsia="ar-SA"/>
              </w:rPr>
            </w:pPr>
          </w:p>
        </w:tc>
        <w:tc>
          <w:tcPr>
            <w:tcW w:w="1418" w:type="dxa"/>
            <w:shd w:val="clear" w:color="auto" w:fill="FFFFFF"/>
            <w:vAlign w:val="center"/>
          </w:tcPr>
          <w:p w:rsidR="00887B88" w:rsidRPr="00082647" w:rsidRDefault="00887B88" w:rsidP="00A01F88">
            <w:pPr>
              <w:snapToGrid w:val="0"/>
              <w:rPr>
                <w:rFonts w:cstheme="minorHAnsi"/>
                <w:kern w:val="1"/>
                <w:lang w:eastAsia="ar-SA"/>
              </w:rPr>
            </w:pPr>
          </w:p>
        </w:tc>
        <w:tc>
          <w:tcPr>
            <w:tcW w:w="1559" w:type="dxa"/>
            <w:shd w:val="clear" w:color="auto" w:fill="FFFFFF"/>
          </w:tcPr>
          <w:p w:rsidR="00887B88" w:rsidRPr="00082647" w:rsidRDefault="00887B88" w:rsidP="00A01F88">
            <w:pPr>
              <w:snapToGrid w:val="0"/>
              <w:rPr>
                <w:rFonts w:cstheme="minorHAnsi"/>
                <w:kern w:val="1"/>
                <w:lang w:eastAsia="ar-SA"/>
              </w:rPr>
            </w:pPr>
          </w:p>
        </w:tc>
        <w:tc>
          <w:tcPr>
            <w:tcW w:w="1946" w:type="dxa"/>
            <w:shd w:val="clear" w:color="auto" w:fill="FFFFFF"/>
            <w:vAlign w:val="center"/>
          </w:tcPr>
          <w:p w:rsidR="00887B88" w:rsidRPr="00082647" w:rsidRDefault="00887B88" w:rsidP="00A01F88">
            <w:pPr>
              <w:snapToGrid w:val="0"/>
              <w:rPr>
                <w:rFonts w:cstheme="minorHAnsi"/>
                <w:kern w:val="1"/>
                <w:lang w:eastAsia="ar-SA"/>
              </w:rPr>
            </w:pPr>
          </w:p>
        </w:tc>
      </w:tr>
      <w:tr w:rsidR="00887B88" w:rsidRPr="00082647" w:rsidTr="00887B88">
        <w:trPr>
          <w:trHeight w:val="238"/>
        </w:trPr>
        <w:tc>
          <w:tcPr>
            <w:tcW w:w="375" w:type="dxa"/>
            <w:shd w:val="clear" w:color="auto" w:fill="FFFFFF"/>
            <w:vAlign w:val="center"/>
          </w:tcPr>
          <w:p w:rsidR="00887B88" w:rsidRPr="00082647" w:rsidRDefault="00887B88" w:rsidP="00A01F88">
            <w:pPr>
              <w:jc w:val="center"/>
              <w:rPr>
                <w:rFonts w:cstheme="minorHAnsi"/>
                <w:kern w:val="1"/>
                <w:lang w:eastAsia="ar-SA"/>
              </w:rPr>
            </w:pPr>
            <w:r w:rsidRPr="00082647">
              <w:rPr>
                <w:rFonts w:cstheme="minorHAnsi"/>
                <w:kern w:val="1"/>
                <w:lang w:eastAsia="ar-SA"/>
              </w:rPr>
              <w:t>6</w:t>
            </w:r>
          </w:p>
        </w:tc>
        <w:tc>
          <w:tcPr>
            <w:tcW w:w="5716" w:type="dxa"/>
            <w:shd w:val="clear" w:color="auto" w:fill="FFFFFF"/>
            <w:vAlign w:val="center"/>
          </w:tcPr>
          <w:p w:rsidR="00887B88" w:rsidRPr="00082647" w:rsidRDefault="00887B88" w:rsidP="00887B88">
            <w:pPr>
              <w:widowControl w:val="0"/>
              <w:jc w:val="both"/>
              <w:rPr>
                <w:rFonts w:cstheme="minorHAnsi"/>
                <w:b/>
                <w:bCs/>
              </w:rPr>
            </w:pPr>
            <w:r w:rsidRPr="00082647">
              <w:rPr>
                <w:rFonts w:cstheme="minorHAnsi"/>
                <w:b/>
                <w:bCs/>
              </w:rPr>
              <w:t>Zestaw drenów bursztynowy wielodrożny</w:t>
            </w:r>
            <w:r w:rsidRPr="00082647">
              <w:rPr>
                <w:rFonts w:cstheme="minorHAnsi"/>
              </w:rPr>
              <w:t xml:space="preserve"> (nie zawierających PCV i DEHP) do podaży leków cytostatycznych. Dren główny do połączenia z płynem do przepłukania linii i możliwość podłączenia do niego 2 opakowań z lekiem cytostatycznym. Podaż za pomocą pomp </w:t>
            </w:r>
            <w:proofErr w:type="spellStart"/>
            <w:r w:rsidRPr="00082647">
              <w:rPr>
                <w:rFonts w:cstheme="minorHAnsi"/>
              </w:rPr>
              <w:t>Infusomat</w:t>
            </w:r>
            <w:proofErr w:type="spellEnd"/>
            <w:r w:rsidRPr="00082647">
              <w:rPr>
                <w:rFonts w:cstheme="minorHAnsi"/>
              </w:rPr>
              <w:t xml:space="preserve"> Space oraz metodą grawitacyjną ; linia główna do przepłukiwania po każdorazowym podaniu leku  bez konieczności rozłączania systemu; 3 zastawki bezigłowe zabezpieczone dodatkowo korkami </w:t>
            </w:r>
            <w:proofErr w:type="spellStart"/>
            <w:r w:rsidRPr="00082647">
              <w:rPr>
                <w:rFonts w:cstheme="minorHAnsi"/>
              </w:rPr>
              <w:t>luer</w:t>
            </w:r>
            <w:proofErr w:type="spellEnd"/>
            <w:r w:rsidRPr="00082647">
              <w:rPr>
                <w:rFonts w:cstheme="minorHAnsi"/>
              </w:rPr>
              <w:t xml:space="preserve">-lock. Dwie do podłączenia krótkich drenów do przygotowania leków (kompatybilne z </w:t>
            </w:r>
            <w:proofErr w:type="spellStart"/>
            <w:r w:rsidRPr="00082647">
              <w:rPr>
                <w:rFonts w:cstheme="minorHAnsi"/>
              </w:rPr>
              <w:t>CytoSet</w:t>
            </w:r>
            <w:proofErr w:type="spellEnd"/>
            <w:r w:rsidRPr="00082647">
              <w:rPr>
                <w:rFonts w:cstheme="minorHAnsi"/>
              </w:rPr>
              <w:t xml:space="preserve"> Mix ) -oraz </w:t>
            </w:r>
            <w:r w:rsidRPr="00082647">
              <w:rPr>
                <w:rFonts w:cstheme="minorHAnsi"/>
              </w:rPr>
              <w:lastRenderedPageBreak/>
              <w:t>dodatkową zastawką umiejscowioną nie dalej niż 25cm od miejsca podłączenia do pacjenta -do podaży bolusa. Ergonomiczna dwuczęściowa komora kroplowa,</w:t>
            </w:r>
            <w:r w:rsidR="001C58A5" w:rsidRPr="00082647">
              <w:rPr>
                <w:rFonts w:cstheme="minorHAnsi"/>
              </w:rPr>
              <w:t xml:space="preserve"> </w:t>
            </w:r>
            <w:r w:rsidRPr="00082647">
              <w:rPr>
                <w:rFonts w:cstheme="minorHAnsi"/>
              </w:rPr>
              <w:t xml:space="preserve">wykonana z bardzo przezroczystego materiału ; posiadająca filtr hydrofilny typu </w:t>
            </w:r>
            <w:proofErr w:type="spellStart"/>
            <w:r w:rsidRPr="00082647">
              <w:rPr>
                <w:rFonts w:cstheme="minorHAnsi"/>
              </w:rPr>
              <w:t>AirStop</w:t>
            </w:r>
            <w:proofErr w:type="spellEnd"/>
            <w:r w:rsidRPr="00082647">
              <w:rPr>
                <w:rFonts w:cstheme="minorHAnsi"/>
              </w:rPr>
              <w:t xml:space="preserve"> na dnie komory kroplowej, zabezpieczający przed dostaniem się powietrza do drenu po opróżnieniu opakowania z lekiem lub płynem. Ostry kolec, wyposażony w odpowietrznik z filtrem zabezpieczonym klapką. Zacisk rolkowy z miejscem na kolec. Filtr hydrofobowy na końcu drenu, zabezpieczający przed wyciekaniem płynu z drenu podczas jego wypełniania. Na życzenie Zamawiającego dostarczenie drenu do podaży leków za pomocą pomp tego samego producenta. Wymaga się aby dołączyć do oferty test potwierdzający , że linie do przygotowania i podaży leków, stanowią zamknięty  system w myśl definicji NIOSH i zapobiegają uwalnianiu się niebezpiecznych zanieczyszczeń do otoczenia.</w:t>
            </w:r>
          </w:p>
        </w:tc>
        <w:tc>
          <w:tcPr>
            <w:tcW w:w="787" w:type="dxa"/>
            <w:shd w:val="clear" w:color="auto" w:fill="FFFFFF"/>
            <w:vAlign w:val="center"/>
          </w:tcPr>
          <w:p w:rsidR="00887B88" w:rsidRPr="00082647" w:rsidRDefault="00887B88" w:rsidP="00A01F88">
            <w:pPr>
              <w:jc w:val="center"/>
              <w:rPr>
                <w:rFonts w:cstheme="minorHAnsi"/>
                <w:kern w:val="1"/>
                <w:lang w:eastAsia="ar-SA"/>
              </w:rPr>
            </w:pPr>
            <w:r w:rsidRPr="00082647">
              <w:rPr>
                <w:rFonts w:cstheme="minorHAnsi"/>
                <w:kern w:val="1"/>
                <w:lang w:eastAsia="ar-SA"/>
              </w:rPr>
              <w:lastRenderedPageBreak/>
              <w:t>Szt.</w:t>
            </w:r>
          </w:p>
        </w:tc>
        <w:tc>
          <w:tcPr>
            <w:tcW w:w="993" w:type="dxa"/>
            <w:shd w:val="clear" w:color="auto" w:fill="FFFFFF"/>
            <w:vAlign w:val="center"/>
          </w:tcPr>
          <w:p w:rsidR="00887B88" w:rsidRPr="00082647" w:rsidRDefault="00A659B8" w:rsidP="00DB578E">
            <w:pPr>
              <w:rPr>
                <w:rFonts w:cstheme="minorHAnsi"/>
                <w:kern w:val="1"/>
                <w:lang w:eastAsia="ar-SA"/>
              </w:rPr>
            </w:pPr>
            <w:r>
              <w:rPr>
                <w:rFonts w:cstheme="minorHAnsi"/>
                <w:kern w:val="1"/>
                <w:lang w:eastAsia="ar-SA"/>
              </w:rPr>
              <w:t>21 3</w:t>
            </w:r>
            <w:r w:rsidR="00887B88" w:rsidRPr="00082647">
              <w:rPr>
                <w:rFonts w:cstheme="minorHAnsi"/>
                <w:kern w:val="1"/>
                <w:lang w:eastAsia="ar-SA"/>
              </w:rPr>
              <w:t>00</w:t>
            </w:r>
          </w:p>
        </w:tc>
        <w:tc>
          <w:tcPr>
            <w:tcW w:w="1275" w:type="dxa"/>
            <w:shd w:val="clear" w:color="auto" w:fill="FFFFFF"/>
            <w:vAlign w:val="center"/>
          </w:tcPr>
          <w:p w:rsidR="00887B88" w:rsidRPr="00082647" w:rsidRDefault="00887B88" w:rsidP="00A01F88">
            <w:pPr>
              <w:snapToGrid w:val="0"/>
              <w:rPr>
                <w:rFonts w:cstheme="minorHAnsi"/>
                <w:kern w:val="1"/>
                <w:lang w:eastAsia="ar-SA"/>
              </w:rPr>
            </w:pPr>
          </w:p>
        </w:tc>
        <w:tc>
          <w:tcPr>
            <w:tcW w:w="1418" w:type="dxa"/>
            <w:shd w:val="clear" w:color="auto" w:fill="FFFFFF"/>
            <w:vAlign w:val="center"/>
          </w:tcPr>
          <w:p w:rsidR="00887B88" w:rsidRPr="00082647" w:rsidRDefault="00887B88" w:rsidP="00A01F88">
            <w:pPr>
              <w:snapToGrid w:val="0"/>
              <w:rPr>
                <w:rFonts w:cstheme="minorHAnsi"/>
                <w:kern w:val="1"/>
                <w:lang w:eastAsia="ar-SA"/>
              </w:rPr>
            </w:pPr>
          </w:p>
        </w:tc>
        <w:tc>
          <w:tcPr>
            <w:tcW w:w="1559" w:type="dxa"/>
            <w:shd w:val="clear" w:color="auto" w:fill="FFFFFF"/>
          </w:tcPr>
          <w:p w:rsidR="00887B88" w:rsidRPr="00082647" w:rsidRDefault="00887B88" w:rsidP="00A01F88">
            <w:pPr>
              <w:snapToGrid w:val="0"/>
              <w:rPr>
                <w:rFonts w:cstheme="minorHAnsi"/>
                <w:kern w:val="1"/>
                <w:lang w:eastAsia="ar-SA"/>
              </w:rPr>
            </w:pPr>
          </w:p>
        </w:tc>
        <w:tc>
          <w:tcPr>
            <w:tcW w:w="1946" w:type="dxa"/>
            <w:shd w:val="clear" w:color="auto" w:fill="FFFFFF"/>
            <w:vAlign w:val="center"/>
          </w:tcPr>
          <w:p w:rsidR="00887B88" w:rsidRPr="00082647" w:rsidRDefault="00887B88" w:rsidP="00A01F88">
            <w:pPr>
              <w:snapToGrid w:val="0"/>
              <w:rPr>
                <w:rFonts w:cstheme="minorHAnsi"/>
                <w:kern w:val="1"/>
                <w:lang w:eastAsia="ar-SA"/>
              </w:rPr>
            </w:pPr>
          </w:p>
        </w:tc>
      </w:tr>
      <w:tr w:rsidR="00887B88" w:rsidRPr="00082647" w:rsidTr="00887B88">
        <w:trPr>
          <w:trHeight w:val="238"/>
        </w:trPr>
        <w:tc>
          <w:tcPr>
            <w:tcW w:w="375" w:type="dxa"/>
            <w:shd w:val="clear" w:color="auto" w:fill="FFFFFF"/>
            <w:vAlign w:val="center"/>
          </w:tcPr>
          <w:p w:rsidR="00887B88" w:rsidRPr="00082647" w:rsidRDefault="00887B88" w:rsidP="00A01F88">
            <w:pPr>
              <w:jc w:val="center"/>
              <w:rPr>
                <w:rFonts w:cstheme="minorHAnsi"/>
                <w:kern w:val="1"/>
                <w:lang w:eastAsia="ar-SA"/>
              </w:rPr>
            </w:pPr>
            <w:r w:rsidRPr="00082647">
              <w:rPr>
                <w:rFonts w:cstheme="minorHAnsi"/>
                <w:kern w:val="1"/>
                <w:lang w:eastAsia="ar-SA"/>
              </w:rPr>
              <w:t>7</w:t>
            </w:r>
          </w:p>
        </w:tc>
        <w:tc>
          <w:tcPr>
            <w:tcW w:w="5716" w:type="dxa"/>
            <w:shd w:val="clear" w:color="auto" w:fill="FFFFFF"/>
            <w:vAlign w:val="center"/>
          </w:tcPr>
          <w:p w:rsidR="00887B88" w:rsidRPr="00082647" w:rsidRDefault="002768D3" w:rsidP="00887B88">
            <w:pPr>
              <w:widowControl w:val="0"/>
              <w:jc w:val="both"/>
              <w:rPr>
                <w:rFonts w:cstheme="minorHAnsi"/>
                <w:b/>
                <w:bCs/>
              </w:rPr>
            </w:pPr>
            <w:r w:rsidRPr="00082647">
              <w:rPr>
                <w:rFonts w:cstheme="minorHAnsi"/>
                <w:b/>
                <w:bCs/>
              </w:rPr>
              <w:t>Zestaw drenów bursztynowy wielodrożny</w:t>
            </w:r>
            <w:r w:rsidRPr="00082647">
              <w:rPr>
                <w:rFonts w:cstheme="minorHAnsi"/>
              </w:rPr>
              <w:t xml:space="preserve"> (nie zawierających PCV i DEHP) do podaży leków cytostatycznych. Dren główny do połączenia z płynem do przepłukania linii i możliwość podłączenia do niego 4 opakowań z lekiem cytostatycznym. Podaż za pomocą pomp </w:t>
            </w:r>
            <w:proofErr w:type="spellStart"/>
            <w:r w:rsidRPr="00082647">
              <w:rPr>
                <w:rFonts w:cstheme="minorHAnsi"/>
              </w:rPr>
              <w:t>Infusomat</w:t>
            </w:r>
            <w:proofErr w:type="spellEnd"/>
            <w:r w:rsidRPr="00082647">
              <w:rPr>
                <w:rFonts w:cstheme="minorHAnsi"/>
              </w:rPr>
              <w:t xml:space="preserve"> Space oraz metodą grawitacyjną ; linia główna do przepłukiwania po każdorazowym podaniu leku  bez konieczności rozłączania systemu ; 5 zastawek bezigłowych zabezpieczone dodatkowo korkami </w:t>
            </w:r>
            <w:proofErr w:type="spellStart"/>
            <w:r w:rsidRPr="00082647">
              <w:rPr>
                <w:rFonts w:cstheme="minorHAnsi"/>
              </w:rPr>
              <w:t>luer</w:t>
            </w:r>
            <w:proofErr w:type="spellEnd"/>
            <w:r w:rsidRPr="00082647">
              <w:rPr>
                <w:rFonts w:cstheme="minorHAnsi"/>
              </w:rPr>
              <w:t xml:space="preserve">-lock .Cztery do podłączenia krótkich drenów do przygotowania leków (kompatybilne z </w:t>
            </w:r>
            <w:proofErr w:type="spellStart"/>
            <w:r w:rsidRPr="00082647">
              <w:rPr>
                <w:rFonts w:cstheme="minorHAnsi"/>
              </w:rPr>
              <w:t>CytoSet</w:t>
            </w:r>
            <w:proofErr w:type="spellEnd"/>
            <w:r w:rsidRPr="00082647">
              <w:rPr>
                <w:rFonts w:cstheme="minorHAnsi"/>
              </w:rPr>
              <w:t xml:space="preserve"> Mix )-oraz dodatkową zastawką umiejscowioną nie dalej niż 25 cm od miejsca podłączenia do pacjenta-do podaży bolusa. Ergonomiczna dwuczęściowa komora kroplowa, wykonana z bardzo przezroczystego materiału ;posiadająca filtr hydrofilny </w:t>
            </w:r>
            <w:r w:rsidRPr="00082647">
              <w:rPr>
                <w:rFonts w:cstheme="minorHAnsi"/>
              </w:rPr>
              <w:lastRenderedPageBreak/>
              <w:t xml:space="preserve">typu </w:t>
            </w:r>
            <w:proofErr w:type="spellStart"/>
            <w:r w:rsidRPr="00082647">
              <w:rPr>
                <w:rFonts w:cstheme="minorHAnsi"/>
              </w:rPr>
              <w:t>AirStop</w:t>
            </w:r>
            <w:proofErr w:type="spellEnd"/>
            <w:r w:rsidRPr="00082647">
              <w:rPr>
                <w:rFonts w:cstheme="minorHAnsi"/>
              </w:rPr>
              <w:t xml:space="preserve"> na dnie komory kroplowej ,zabezpieczający przed dostaniem się powietrza do drenu po opróżnieniu opakowania z lekiem lub płynem.  Ostry kolec, wyposażony w odpowietrznik z filtrem zabezpieczonym klapką. Zacisk rolkowy z miejscem na kolec. Filtr hydrofobowy na końcu drenu ,zabezpieczający przed wyciekaniem płynu z drenu podczas jego wypełniania. Na życzenie Zamawiającego dostarczenie drenu do podaży leków za pomocą pomp tego samego producenta. Wymaga się aby dołączyć do oferty test potwierdzający, że linie do przygotowania i podaży leków, stanowią zamknięty  system w myśl definicji NIOSH i zapobiegają uwalnianiu się niebezpiecznych zanieczyszczeń do otoczenia.</w:t>
            </w:r>
          </w:p>
        </w:tc>
        <w:tc>
          <w:tcPr>
            <w:tcW w:w="787" w:type="dxa"/>
            <w:shd w:val="clear" w:color="auto" w:fill="FFFFFF"/>
            <w:vAlign w:val="center"/>
          </w:tcPr>
          <w:p w:rsidR="00887B88" w:rsidRPr="00082647" w:rsidRDefault="00887B88" w:rsidP="00A01F88">
            <w:pPr>
              <w:jc w:val="center"/>
              <w:rPr>
                <w:rFonts w:cstheme="minorHAnsi"/>
                <w:kern w:val="1"/>
                <w:lang w:eastAsia="ar-SA"/>
              </w:rPr>
            </w:pPr>
            <w:r w:rsidRPr="00082647">
              <w:rPr>
                <w:rFonts w:cstheme="minorHAnsi"/>
                <w:kern w:val="1"/>
                <w:lang w:eastAsia="ar-SA"/>
              </w:rPr>
              <w:lastRenderedPageBreak/>
              <w:t>Szt.</w:t>
            </w:r>
          </w:p>
        </w:tc>
        <w:tc>
          <w:tcPr>
            <w:tcW w:w="993" w:type="dxa"/>
            <w:shd w:val="clear" w:color="auto" w:fill="FFFFFF"/>
            <w:vAlign w:val="center"/>
          </w:tcPr>
          <w:p w:rsidR="00887B88" w:rsidRPr="00082647" w:rsidRDefault="00A659B8" w:rsidP="00DB578E">
            <w:pPr>
              <w:rPr>
                <w:rFonts w:cstheme="minorHAnsi"/>
                <w:kern w:val="1"/>
                <w:lang w:eastAsia="ar-SA"/>
              </w:rPr>
            </w:pPr>
            <w:r>
              <w:rPr>
                <w:rFonts w:cstheme="minorHAnsi"/>
                <w:kern w:val="1"/>
                <w:lang w:eastAsia="ar-SA"/>
              </w:rPr>
              <w:t>18 6</w:t>
            </w:r>
            <w:r w:rsidR="00887B88" w:rsidRPr="00082647">
              <w:rPr>
                <w:rFonts w:cstheme="minorHAnsi"/>
                <w:kern w:val="1"/>
                <w:lang w:eastAsia="ar-SA"/>
              </w:rPr>
              <w:t>00</w:t>
            </w:r>
          </w:p>
        </w:tc>
        <w:tc>
          <w:tcPr>
            <w:tcW w:w="1275" w:type="dxa"/>
            <w:shd w:val="clear" w:color="auto" w:fill="FFFFFF"/>
            <w:vAlign w:val="center"/>
          </w:tcPr>
          <w:p w:rsidR="00887B88" w:rsidRPr="00082647" w:rsidRDefault="00887B88" w:rsidP="00A01F88">
            <w:pPr>
              <w:snapToGrid w:val="0"/>
              <w:rPr>
                <w:rFonts w:cstheme="minorHAnsi"/>
                <w:kern w:val="1"/>
                <w:lang w:eastAsia="ar-SA"/>
              </w:rPr>
            </w:pPr>
          </w:p>
        </w:tc>
        <w:tc>
          <w:tcPr>
            <w:tcW w:w="1418" w:type="dxa"/>
            <w:shd w:val="clear" w:color="auto" w:fill="FFFFFF"/>
            <w:vAlign w:val="center"/>
          </w:tcPr>
          <w:p w:rsidR="00887B88" w:rsidRPr="00082647" w:rsidRDefault="00887B88" w:rsidP="00A01F88">
            <w:pPr>
              <w:snapToGrid w:val="0"/>
              <w:rPr>
                <w:rFonts w:cstheme="minorHAnsi"/>
                <w:kern w:val="1"/>
                <w:lang w:eastAsia="ar-SA"/>
              </w:rPr>
            </w:pPr>
          </w:p>
        </w:tc>
        <w:tc>
          <w:tcPr>
            <w:tcW w:w="1559" w:type="dxa"/>
            <w:shd w:val="clear" w:color="auto" w:fill="FFFFFF"/>
          </w:tcPr>
          <w:p w:rsidR="00887B88" w:rsidRPr="00082647" w:rsidRDefault="00887B88" w:rsidP="00A01F88">
            <w:pPr>
              <w:snapToGrid w:val="0"/>
              <w:rPr>
                <w:rFonts w:cstheme="minorHAnsi"/>
                <w:kern w:val="1"/>
                <w:lang w:eastAsia="ar-SA"/>
              </w:rPr>
            </w:pPr>
          </w:p>
        </w:tc>
        <w:tc>
          <w:tcPr>
            <w:tcW w:w="1946" w:type="dxa"/>
            <w:shd w:val="clear" w:color="auto" w:fill="FFFFFF"/>
            <w:vAlign w:val="center"/>
          </w:tcPr>
          <w:p w:rsidR="00887B88" w:rsidRPr="00082647" w:rsidRDefault="00887B88" w:rsidP="00A01F88">
            <w:pPr>
              <w:snapToGrid w:val="0"/>
              <w:rPr>
                <w:rFonts w:cstheme="minorHAnsi"/>
                <w:kern w:val="1"/>
                <w:lang w:eastAsia="ar-SA"/>
              </w:rPr>
            </w:pPr>
          </w:p>
        </w:tc>
      </w:tr>
      <w:tr w:rsidR="002768D3" w:rsidRPr="00082647" w:rsidTr="00887B88">
        <w:trPr>
          <w:trHeight w:val="238"/>
        </w:trPr>
        <w:tc>
          <w:tcPr>
            <w:tcW w:w="375" w:type="dxa"/>
            <w:shd w:val="clear" w:color="auto" w:fill="FFFFFF"/>
            <w:vAlign w:val="center"/>
          </w:tcPr>
          <w:p w:rsidR="002768D3" w:rsidRPr="00082647" w:rsidRDefault="002768D3" w:rsidP="00A01F88">
            <w:pPr>
              <w:jc w:val="center"/>
              <w:rPr>
                <w:rFonts w:cstheme="minorHAnsi"/>
                <w:kern w:val="1"/>
                <w:lang w:eastAsia="ar-SA"/>
              </w:rPr>
            </w:pPr>
            <w:r w:rsidRPr="00082647">
              <w:rPr>
                <w:rFonts w:cstheme="minorHAnsi"/>
                <w:kern w:val="1"/>
                <w:lang w:eastAsia="ar-SA"/>
              </w:rPr>
              <w:t>8</w:t>
            </w:r>
          </w:p>
        </w:tc>
        <w:tc>
          <w:tcPr>
            <w:tcW w:w="5716" w:type="dxa"/>
            <w:shd w:val="clear" w:color="auto" w:fill="FFFFFF"/>
            <w:vAlign w:val="center"/>
          </w:tcPr>
          <w:p w:rsidR="002768D3" w:rsidRPr="00082647" w:rsidRDefault="002768D3" w:rsidP="00887B88">
            <w:pPr>
              <w:widowControl w:val="0"/>
              <w:jc w:val="both"/>
              <w:rPr>
                <w:rFonts w:cstheme="minorHAnsi"/>
                <w:b/>
                <w:bCs/>
              </w:rPr>
            </w:pPr>
            <w:r w:rsidRPr="00082647">
              <w:rPr>
                <w:rFonts w:cstheme="minorHAnsi"/>
                <w:b/>
                <w:bCs/>
              </w:rPr>
              <w:t>Krótki dren bursztynowy</w:t>
            </w:r>
            <w:r w:rsidRPr="00082647">
              <w:rPr>
                <w:rFonts w:cstheme="minorHAnsi"/>
              </w:rPr>
              <w:t xml:space="preserve"> do przygotowania leków cytostatycznych z baryłkowym regulatorem przepływu, w pojemniku lub worku z możliwością ich podaży przed podłączeniem z drenem-kompatybilny z drenem wielodrożnym. Bez zawartości PCV i DEHP. Dren wykonany w całości z poliuretanu. Możliwość dodania </w:t>
            </w:r>
            <w:proofErr w:type="spellStart"/>
            <w:r w:rsidRPr="00082647">
              <w:rPr>
                <w:rFonts w:cstheme="minorHAnsi"/>
              </w:rPr>
              <w:t>cytostatyku</w:t>
            </w:r>
            <w:proofErr w:type="spellEnd"/>
            <w:r w:rsidRPr="00082647">
              <w:rPr>
                <w:rFonts w:cstheme="minorHAnsi"/>
              </w:rPr>
              <w:t xml:space="preserve"> poprzez zintegrowany port bezigłowy zabezpieczony korkiem zapobiegającym przed koniecznością dezynfekcji portu podczas pierwszego podłączenia strzykawki. Koniec drenu zabezpieczony filtrem hydrofobowym zapobiegającym przed zapowietrzeniem drenu oraz zapobiegający wydostaniu się płynu na zewnątrz podczas wypełniania z zastawką jednokierunkową. Czerwony zacisk na drenie. System drenów musi redukować możliwość kontaminacji leku i bezpośredni kontakt leku z personelem przygotowującym zestaw. Wymaga się aby dołączyć do oferty test potwierdzający, że linie do przygotowania i podaży leków stanowią zamknięty system w myśl  definicji NIOSH i zapobiegają uwalnianiu się </w:t>
            </w:r>
            <w:r w:rsidRPr="00082647">
              <w:rPr>
                <w:rFonts w:cstheme="minorHAnsi"/>
              </w:rPr>
              <w:lastRenderedPageBreak/>
              <w:t>niebezpiecznych zanieczyszczeń do otoczenia .</w:t>
            </w:r>
          </w:p>
        </w:tc>
        <w:tc>
          <w:tcPr>
            <w:tcW w:w="787" w:type="dxa"/>
            <w:shd w:val="clear" w:color="auto" w:fill="FFFFFF"/>
            <w:vAlign w:val="center"/>
          </w:tcPr>
          <w:p w:rsidR="002768D3" w:rsidRPr="00082647" w:rsidRDefault="002768D3" w:rsidP="00A01F88">
            <w:pPr>
              <w:jc w:val="center"/>
              <w:rPr>
                <w:rFonts w:cstheme="minorHAnsi"/>
                <w:kern w:val="1"/>
                <w:lang w:eastAsia="ar-SA"/>
              </w:rPr>
            </w:pPr>
            <w:r w:rsidRPr="00082647">
              <w:rPr>
                <w:rFonts w:cstheme="minorHAnsi"/>
                <w:kern w:val="1"/>
                <w:lang w:eastAsia="ar-SA"/>
              </w:rPr>
              <w:lastRenderedPageBreak/>
              <w:t>Szt.</w:t>
            </w:r>
          </w:p>
        </w:tc>
        <w:tc>
          <w:tcPr>
            <w:tcW w:w="993" w:type="dxa"/>
            <w:shd w:val="clear" w:color="auto" w:fill="FFFFFF"/>
            <w:vAlign w:val="center"/>
          </w:tcPr>
          <w:p w:rsidR="002768D3" w:rsidRPr="00082647" w:rsidRDefault="002768D3" w:rsidP="00DB578E">
            <w:pPr>
              <w:rPr>
                <w:rFonts w:cstheme="minorHAnsi"/>
                <w:kern w:val="1"/>
                <w:lang w:eastAsia="ar-SA"/>
              </w:rPr>
            </w:pPr>
            <w:r w:rsidRPr="00082647">
              <w:rPr>
                <w:rFonts w:cstheme="minorHAnsi"/>
                <w:kern w:val="1"/>
                <w:lang w:eastAsia="ar-SA"/>
              </w:rPr>
              <w:t>50</w:t>
            </w:r>
          </w:p>
        </w:tc>
        <w:tc>
          <w:tcPr>
            <w:tcW w:w="1275" w:type="dxa"/>
            <w:shd w:val="clear" w:color="auto" w:fill="FFFFFF"/>
            <w:vAlign w:val="center"/>
          </w:tcPr>
          <w:p w:rsidR="002768D3" w:rsidRPr="00082647" w:rsidRDefault="002768D3" w:rsidP="00A01F88">
            <w:pPr>
              <w:snapToGrid w:val="0"/>
              <w:rPr>
                <w:rFonts w:cstheme="minorHAnsi"/>
                <w:kern w:val="1"/>
                <w:lang w:eastAsia="ar-SA"/>
              </w:rPr>
            </w:pPr>
          </w:p>
        </w:tc>
        <w:tc>
          <w:tcPr>
            <w:tcW w:w="1418" w:type="dxa"/>
            <w:shd w:val="clear" w:color="auto" w:fill="FFFFFF"/>
            <w:vAlign w:val="center"/>
          </w:tcPr>
          <w:p w:rsidR="002768D3" w:rsidRPr="00082647" w:rsidRDefault="002768D3" w:rsidP="00A01F88">
            <w:pPr>
              <w:snapToGrid w:val="0"/>
              <w:rPr>
                <w:rFonts w:cstheme="minorHAnsi"/>
                <w:kern w:val="1"/>
                <w:lang w:eastAsia="ar-SA"/>
              </w:rPr>
            </w:pPr>
          </w:p>
        </w:tc>
        <w:tc>
          <w:tcPr>
            <w:tcW w:w="1559" w:type="dxa"/>
            <w:shd w:val="clear" w:color="auto" w:fill="FFFFFF"/>
          </w:tcPr>
          <w:p w:rsidR="002768D3" w:rsidRPr="00082647" w:rsidRDefault="002768D3" w:rsidP="00A01F88">
            <w:pPr>
              <w:snapToGrid w:val="0"/>
              <w:rPr>
                <w:rFonts w:cstheme="minorHAnsi"/>
                <w:kern w:val="1"/>
                <w:lang w:eastAsia="ar-SA"/>
              </w:rPr>
            </w:pPr>
          </w:p>
        </w:tc>
        <w:tc>
          <w:tcPr>
            <w:tcW w:w="1946" w:type="dxa"/>
            <w:shd w:val="clear" w:color="auto" w:fill="FFFFFF"/>
            <w:vAlign w:val="center"/>
          </w:tcPr>
          <w:p w:rsidR="002768D3" w:rsidRPr="00082647" w:rsidRDefault="002768D3" w:rsidP="00A01F88">
            <w:pPr>
              <w:snapToGrid w:val="0"/>
              <w:rPr>
                <w:rFonts w:cstheme="minorHAnsi"/>
                <w:kern w:val="1"/>
                <w:lang w:eastAsia="ar-SA"/>
              </w:rPr>
            </w:pPr>
          </w:p>
        </w:tc>
      </w:tr>
      <w:tr w:rsidR="002768D3" w:rsidRPr="00082647" w:rsidTr="00887B88">
        <w:trPr>
          <w:trHeight w:val="238"/>
        </w:trPr>
        <w:tc>
          <w:tcPr>
            <w:tcW w:w="375" w:type="dxa"/>
            <w:shd w:val="clear" w:color="auto" w:fill="FFFFFF"/>
            <w:vAlign w:val="center"/>
          </w:tcPr>
          <w:p w:rsidR="002768D3" w:rsidRPr="00082647" w:rsidRDefault="002768D3" w:rsidP="00A01F88">
            <w:pPr>
              <w:jc w:val="center"/>
              <w:rPr>
                <w:rFonts w:cstheme="minorHAnsi"/>
                <w:kern w:val="1"/>
                <w:lang w:eastAsia="ar-SA"/>
              </w:rPr>
            </w:pPr>
            <w:r w:rsidRPr="00082647">
              <w:rPr>
                <w:rFonts w:cstheme="minorHAnsi"/>
                <w:kern w:val="1"/>
                <w:lang w:eastAsia="ar-SA"/>
              </w:rPr>
              <w:t>9</w:t>
            </w:r>
          </w:p>
        </w:tc>
        <w:tc>
          <w:tcPr>
            <w:tcW w:w="5716" w:type="dxa"/>
            <w:shd w:val="clear" w:color="auto" w:fill="FFFFFF"/>
            <w:vAlign w:val="center"/>
          </w:tcPr>
          <w:p w:rsidR="004C5ABB" w:rsidRPr="00082647" w:rsidRDefault="002768D3" w:rsidP="00082647">
            <w:pPr>
              <w:widowControl w:val="0"/>
              <w:jc w:val="both"/>
              <w:rPr>
                <w:rFonts w:cstheme="minorHAnsi"/>
                <w:b/>
                <w:bCs/>
              </w:rPr>
            </w:pPr>
            <w:r w:rsidRPr="00082647">
              <w:rPr>
                <w:rFonts w:cstheme="minorHAnsi"/>
                <w:b/>
                <w:bCs/>
              </w:rPr>
              <w:t xml:space="preserve">Krótki dren bursztynowy z filtrem 0,2 </w:t>
            </w:r>
            <w:r w:rsidRPr="00082647">
              <w:rPr>
                <w:rFonts w:eastAsia="Calibri" w:cstheme="minorHAnsi"/>
                <w:b/>
                <w:bCs/>
              </w:rPr>
              <w:t>µm</w:t>
            </w:r>
            <w:r w:rsidRPr="00082647">
              <w:rPr>
                <w:rFonts w:eastAsia="Calibri" w:cstheme="minorHAnsi"/>
              </w:rPr>
              <w:t xml:space="preserve"> (</w:t>
            </w:r>
            <w:proofErr w:type="spellStart"/>
            <w:r w:rsidRPr="00082647">
              <w:rPr>
                <w:rFonts w:eastAsia="Calibri" w:cstheme="minorHAnsi"/>
              </w:rPr>
              <w:t>paklitaxel</w:t>
            </w:r>
            <w:proofErr w:type="spellEnd"/>
            <w:r w:rsidRPr="00082647">
              <w:rPr>
                <w:rFonts w:eastAsia="Calibri" w:cstheme="minorHAnsi"/>
              </w:rPr>
              <w:t xml:space="preserve">) do przygotowania leków cytostatycznych z baryłkowym regulatorem przepływu; w pojemniku lub worku z możliwością ich podaży przez podłączenie z drenem głównym -kompatybilny z drenem wielodrożnym. Bez zawartości PCV i DEHP. Dren wykonany w całości z poliuretanu. Możliwość dodania </w:t>
            </w:r>
            <w:proofErr w:type="spellStart"/>
            <w:r w:rsidRPr="00082647">
              <w:rPr>
                <w:rFonts w:eastAsia="Calibri" w:cstheme="minorHAnsi"/>
              </w:rPr>
              <w:t>cytostatyku</w:t>
            </w:r>
            <w:proofErr w:type="spellEnd"/>
            <w:r w:rsidRPr="00082647">
              <w:rPr>
                <w:rFonts w:eastAsia="Calibri" w:cstheme="minorHAnsi"/>
              </w:rPr>
              <w:t xml:space="preserve"> poprzez zintegrowany port bezigłowy zabezpieczony korkiem zapobiegającym przed koniecznością dezynfekcji portu podczas pierwszego podłączenia strzykawki. Koniec drenu zabezpieczony filtrem hydrofobowym zapobiegającym przed zapowietrzeniem drenu oraz zapobiegający wydostaniu się płynu na zewnątrz podczas wypełniania z zastawką jednokierunkową. Czerwony zacisk na drenie. System drenów musi redukować możliwość kontaminacji leku i bezpośredni kontakt  leku z personelem przygotowującym zestaw. Wymaga się aby dołączyć do oferty test potwierdzający, że linie do przygotowania i podaży leków stanowią zamknięty system w myśl definicji NIOSH i zapobiegają uwalnianiu się niebezpiecznych zanieczyszczeń do otoczenia.</w:t>
            </w:r>
          </w:p>
        </w:tc>
        <w:tc>
          <w:tcPr>
            <w:tcW w:w="787" w:type="dxa"/>
            <w:shd w:val="clear" w:color="auto" w:fill="FFFFFF"/>
            <w:vAlign w:val="center"/>
          </w:tcPr>
          <w:p w:rsidR="002768D3" w:rsidRPr="00082647" w:rsidRDefault="002768D3" w:rsidP="00A01F88">
            <w:pPr>
              <w:jc w:val="center"/>
              <w:rPr>
                <w:rFonts w:cstheme="minorHAnsi"/>
                <w:kern w:val="1"/>
                <w:lang w:eastAsia="ar-SA"/>
              </w:rPr>
            </w:pPr>
            <w:r w:rsidRPr="00082647">
              <w:rPr>
                <w:rFonts w:cstheme="minorHAnsi"/>
                <w:kern w:val="1"/>
                <w:lang w:eastAsia="ar-SA"/>
              </w:rPr>
              <w:t>Szt.</w:t>
            </w:r>
          </w:p>
        </w:tc>
        <w:tc>
          <w:tcPr>
            <w:tcW w:w="993" w:type="dxa"/>
            <w:shd w:val="clear" w:color="auto" w:fill="FFFFFF"/>
            <w:vAlign w:val="center"/>
          </w:tcPr>
          <w:p w:rsidR="002768D3" w:rsidRPr="00082647" w:rsidRDefault="00A659B8" w:rsidP="00DB578E">
            <w:pPr>
              <w:rPr>
                <w:rFonts w:cstheme="minorHAnsi"/>
                <w:kern w:val="1"/>
                <w:lang w:eastAsia="ar-SA"/>
              </w:rPr>
            </w:pPr>
            <w:r>
              <w:rPr>
                <w:rFonts w:cstheme="minorHAnsi"/>
                <w:kern w:val="1"/>
                <w:lang w:eastAsia="ar-SA"/>
              </w:rPr>
              <w:t>1 0</w:t>
            </w:r>
            <w:r w:rsidR="002768D3" w:rsidRPr="00082647">
              <w:rPr>
                <w:rFonts w:cstheme="minorHAnsi"/>
                <w:kern w:val="1"/>
                <w:lang w:eastAsia="ar-SA"/>
              </w:rPr>
              <w:t>00</w:t>
            </w:r>
          </w:p>
        </w:tc>
        <w:tc>
          <w:tcPr>
            <w:tcW w:w="1275" w:type="dxa"/>
            <w:shd w:val="clear" w:color="auto" w:fill="FFFFFF"/>
            <w:vAlign w:val="center"/>
          </w:tcPr>
          <w:p w:rsidR="002768D3" w:rsidRPr="00082647" w:rsidRDefault="002768D3" w:rsidP="00A01F88">
            <w:pPr>
              <w:snapToGrid w:val="0"/>
              <w:rPr>
                <w:rFonts w:cstheme="minorHAnsi"/>
                <w:kern w:val="1"/>
                <w:lang w:eastAsia="ar-SA"/>
              </w:rPr>
            </w:pPr>
          </w:p>
        </w:tc>
        <w:tc>
          <w:tcPr>
            <w:tcW w:w="1418" w:type="dxa"/>
            <w:shd w:val="clear" w:color="auto" w:fill="FFFFFF"/>
            <w:vAlign w:val="center"/>
          </w:tcPr>
          <w:p w:rsidR="002768D3" w:rsidRPr="00082647" w:rsidRDefault="002768D3" w:rsidP="00A01F88">
            <w:pPr>
              <w:snapToGrid w:val="0"/>
              <w:rPr>
                <w:rFonts w:cstheme="minorHAnsi"/>
                <w:kern w:val="1"/>
                <w:lang w:eastAsia="ar-SA"/>
              </w:rPr>
            </w:pPr>
          </w:p>
        </w:tc>
        <w:tc>
          <w:tcPr>
            <w:tcW w:w="1559" w:type="dxa"/>
            <w:shd w:val="clear" w:color="auto" w:fill="FFFFFF"/>
          </w:tcPr>
          <w:p w:rsidR="002768D3" w:rsidRPr="00082647" w:rsidRDefault="002768D3" w:rsidP="00A01F88">
            <w:pPr>
              <w:snapToGrid w:val="0"/>
              <w:rPr>
                <w:rFonts w:cstheme="minorHAnsi"/>
                <w:kern w:val="1"/>
                <w:lang w:eastAsia="ar-SA"/>
              </w:rPr>
            </w:pPr>
          </w:p>
        </w:tc>
        <w:tc>
          <w:tcPr>
            <w:tcW w:w="1946" w:type="dxa"/>
            <w:shd w:val="clear" w:color="auto" w:fill="FFFFFF"/>
            <w:vAlign w:val="center"/>
          </w:tcPr>
          <w:p w:rsidR="002768D3" w:rsidRPr="00082647" w:rsidRDefault="002768D3" w:rsidP="00A01F88">
            <w:pPr>
              <w:snapToGrid w:val="0"/>
              <w:rPr>
                <w:rFonts w:cstheme="minorHAnsi"/>
                <w:kern w:val="1"/>
                <w:lang w:eastAsia="ar-SA"/>
              </w:rPr>
            </w:pPr>
          </w:p>
        </w:tc>
      </w:tr>
      <w:tr w:rsidR="002768D3" w:rsidRPr="00082647" w:rsidTr="00082647">
        <w:trPr>
          <w:trHeight w:val="5185"/>
        </w:trPr>
        <w:tc>
          <w:tcPr>
            <w:tcW w:w="375" w:type="dxa"/>
            <w:shd w:val="clear" w:color="auto" w:fill="FFFFFF"/>
            <w:vAlign w:val="center"/>
          </w:tcPr>
          <w:p w:rsidR="002768D3" w:rsidRPr="00082647" w:rsidRDefault="002768D3" w:rsidP="00A01F88">
            <w:pPr>
              <w:jc w:val="center"/>
              <w:rPr>
                <w:rFonts w:cstheme="minorHAnsi"/>
                <w:kern w:val="1"/>
                <w:lang w:eastAsia="ar-SA"/>
              </w:rPr>
            </w:pPr>
            <w:r w:rsidRPr="00082647">
              <w:rPr>
                <w:rFonts w:cstheme="minorHAnsi"/>
                <w:kern w:val="1"/>
                <w:lang w:eastAsia="ar-SA"/>
              </w:rPr>
              <w:lastRenderedPageBreak/>
              <w:t>10</w:t>
            </w:r>
          </w:p>
        </w:tc>
        <w:tc>
          <w:tcPr>
            <w:tcW w:w="5716" w:type="dxa"/>
            <w:shd w:val="clear" w:color="auto" w:fill="FFFFFF"/>
            <w:vAlign w:val="center"/>
          </w:tcPr>
          <w:p w:rsidR="002768D3" w:rsidRPr="00082647" w:rsidRDefault="002768D3" w:rsidP="00887B88">
            <w:pPr>
              <w:widowControl w:val="0"/>
              <w:jc w:val="both"/>
              <w:rPr>
                <w:rFonts w:cstheme="minorHAnsi"/>
                <w:b/>
                <w:bCs/>
              </w:rPr>
            </w:pPr>
            <w:r w:rsidRPr="00082647">
              <w:rPr>
                <w:rFonts w:cstheme="minorHAnsi"/>
                <w:b/>
                <w:bCs/>
              </w:rPr>
              <w:t>Dren przezroczysty do przygotowania leków cytostatycznych z filtrem 0,2</w:t>
            </w:r>
            <w:r w:rsidRPr="00082647">
              <w:rPr>
                <w:rFonts w:eastAsia="Calibri" w:cstheme="minorHAnsi"/>
                <w:b/>
                <w:bCs/>
              </w:rPr>
              <w:t>µ</w:t>
            </w:r>
            <w:r w:rsidRPr="00082647">
              <w:rPr>
                <w:rFonts w:eastAsia="Calibri" w:cstheme="minorHAnsi"/>
              </w:rPr>
              <w:t xml:space="preserve"> w pojemniku lub worku z możliwością ich podaży przez podłączenie z drenem głównym- kompatybilny z drenem wielodrożnym (głównym). Bez zawartości PCV. Możliwość dodania </w:t>
            </w:r>
            <w:proofErr w:type="spellStart"/>
            <w:r w:rsidRPr="00082647">
              <w:rPr>
                <w:rFonts w:eastAsia="Calibri" w:cstheme="minorHAnsi"/>
              </w:rPr>
              <w:t>cytostatyku</w:t>
            </w:r>
            <w:proofErr w:type="spellEnd"/>
            <w:r w:rsidRPr="00082647">
              <w:rPr>
                <w:rFonts w:eastAsia="Calibri" w:cstheme="minorHAnsi"/>
              </w:rPr>
              <w:t xml:space="preserve"> poprzez zintegrowaną zastawkę bezigłową zabezpieczoną korkiem </w:t>
            </w:r>
            <w:proofErr w:type="spellStart"/>
            <w:r w:rsidRPr="00082647">
              <w:rPr>
                <w:rFonts w:eastAsia="Calibri" w:cstheme="minorHAnsi"/>
              </w:rPr>
              <w:t>luer</w:t>
            </w:r>
            <w:proofErr w:type="spellEnd"/>
            <w:r w:rsidRPr="00082647">
              <w:rPr>
                <w:rFonts w:eastAsia="Calibri" w:cstheme="minorHAnsi"/>
              </w:rPr>
              <w:t>-lock z uchwytem dla łatwego trzymania w czasie do</w:t>
            </w:r>
            <w:r w:rsidR="00D52D2A" w:rsidRPr="00082647">
              <w:rPr>
                <w:rFonts w:eastAsia="Calibri" w:cstheme="minorHAnsi"/>
              </w:rPr>
              <w:t xml:space="preserve"> </w:t>
            </w:r>
            <w:proofErr w:type="spellStart"/>
            <w:r w:rsidRPr="00082647">
              <w:rPr>
                <w:rFonts w:eastAsia="Calibri" w:cstheme="minorHAnsi"/>
              </w:rPr>
              <w:t>strzykiwania</w:t>
            </w:r>
            <w:proofErr w:type="spellEnd"/>
            <w:r w:rsidRPr="00082647">
              <w:rPr>
                <w:rFonts w:eastAsia="Calibri" w:cstheme="minorHAnsi"/>
              </w:rPr>
              <w:t xml:space="preserve"> leku. Koniec drenu zabezpieczony filtrem hydrofobowym zapobiegającym przed zapowietrzeniem drenu oraz zapobiegającym wydostaniu się płynu na zewnątrz; Końcówka męska wyposażona w system sygnalizacji akustycznej po podłączeniu z drenem głównym. System drenów musi redukować możliwość kontaminacji  leku i bezpośredni kontakt leku  z personelem przygotowującym zestaw. Wymaga się aby dołączyć do oferty test potwierdzający, że linie do przygotowania i podaży leków</w:t>
            </w:r>
            <w:r w:rsidR="00D52D2A" w:rsidRPr="00082647">
              <w:rPr>
                <w:rFonts w:eastAsia="Calibri" w:cstheme="minorHAnsi"/>
              </w:rPr>
              <w:t xml:space="preserve"> stanowią zamknięty system w myśl definicji NIOSH i zapobiegają uwalnianiu się niebezpiecznych zanieczyszczeń do otoczenia.</w:t>
            </w:r>
          </w:p>
        </w:tc>
        <w:tc>
          <w:tcPr>
            <w:tcW w:w="787" w:type="dxa"/>
            <w:shd w:val="clear" w:color="auto" w:fill="FFFFFF"/>
            <w:vAlign w:val="center"/>
          </w:tcPr>
          <w:p w:rsidR="002768D3" w:rsidRPr="00082647" w:rsidRDefault="002768D3" w:rsidP="00A01F88">
            <w:pPr>
              <w:jc w:val="center"/>
              <w:rPr>
                <w:rFonts w:cstheme="minorHAnsi"/>
                <w:kern w:val="1"/>
                <w:lang w:eastAsia="ar-SA"/>
              </w:rPr>
            </w:pPr>
            <w:r w:rsidRPr="00082647">
              <w:rPr>
                <w:rFonts w:cstheme="minorHAnsi"/>
                <w:kern w:val="1"/>
                <w:lang w:eastAsia="ar-SA"/>
              </w:rPr>
              <w:t>Szt.</w:t>
            </w:r>
          </w:p>
        </w:tc>
        <w:tc>
          <w:tcPr>
            <w:tcW w:w="993" w:type="dxa"/>
            <w:shd w:val="clear" w:color="auto" w:fill="FFFFFF"/>
            <w:vAlign w:val="center"/>
          </w:tcPr>
          <w:p w:rsidR="002768D3" w:rsidRPr="00082647" w:rsidRDefault="00A659B8" w:rsidP="00DB578E">
            <w:pPr>
              <w:rPr>
                <w:rFonts w:cstheme="minorHAnsi"/>
                <w:kern w:val="1"/>
                <w:lang w:eastAsia="ar-SA"/>
              </w:rPr>
            </w:pPr>
            <w:r>
              <w:rPr>
                <w:rFonts w:cstheme="minorHAnsi"/>
                <w:kern w:val="1"/>
                <w:lang w:eastAsia="ar-SA"/>
              </w:rPr>
              <w:t>39</w:t>
            </w:r>
            <w:r w:rsidR="002768D3" w:rsidRPr="00082647">
              <w:rPr>
                <w:rFonts w:cstheme="minorHAnsi"/>
                <w:kern w:val="1"/>
                <w:lang w:eastAsia="ar-SA"/>
              </w:rPr>
              <w:t>00</w:t>
            </w:r>
          </w:p>
        </w:tc>
        <w:tc>
          <w:tcPr>
            <w:tcW w:w="1275" w:type="dxa"/>
            <w:shd w:val="clear" w:color="auto" w:fill="FFFFFF"/>
            <w:vAlign w:val="center"/>
          </w:tcPr>
          <w:p w:rsidR="002768D3" w:rsidRPr="00082647" w:rsidRDefault="002768D3" w:rsidP="00A01F88">
            <w:pPr>
              <w:snapToGrid w:val="0"/>
              <w:rPr>
                <w:rFonts w:cstheme="minorHAnsi"/>
                <w:kern w:val="1"/>
                <w:lang w:eastAsia="ar-SA"/>
              </w:rPr>
            </w:pPr>
          </w:p>
        </w:tc>
        <w:tc>
          <w:tcPr>
            <w:tcW w:w="1418" w:type="dxa"/>
            <w:shd w:val="clear" w:color="auto" w:fill="FFFFFF"/>
            <w:vAlign w:val="center"/>
          </w:tcPr>
          <w:p w:rsidR="002768D3" w:rsidRPr="00082647" w:rsidRDefault="002768D3" w:rsidP="00A01F88">
            <w:pPr>
              <w:snapToGrid w:val="0"/>
              <w:rPr>
                <w:rFonts w:cstheme="minorHAnsi"/>
                <w:kern w:val="1"/>
                <w:lang w:eastAsia="ar-SA"/>
              </w:rPr>
            </w:pPr>
          </w:p>
        </w:tc>
        <w:tc>
          <w:tcPr>
            <w:tcW w:w="1559" w:type="dxa"/>
            <w:shd w:val="clear" w:color="auto" w:fill="FFFFFF"/>
          </w:tcPr>
          <w:p w:rsidR="002768D3" w:rsidRPr="00082647" w:rsidRDefault="002768D3" w:rsidP="00A01F88">
            <w:pPr>
              <w:snapToGrid w:val="0"/>
              <w:rPr>
                <w:rFonts w:cstheme="minorHAnsi"/>
                <w:kern w:val="1"/>
                <w:lang w:eastAsia="ar-SA"/>
              </w:rPr>
            </w:pPr>
          </w:p>
        </w:tc>
        <w:tc>
          <w:tcPr>
            <w:tcW w:w="1946" w:type="dxa"/>
            <w:shd w:val="clear" w:color="auto" w:fill="FFFFFF"/>
            <w:vAlign w:val="center"/>
          </w:tcPr>
          <w:p w:rsidR="002768D3" w:rsidRPr="00082647" w:rsidRDefault="002768D3" w:rsidP="00A01F88">
            <w:pPr>
              <w:snapToGrid w:val="0"/>
              <w:rPr>
                <w:rFonts w:cstheme="minorHAnsi"/>
                <w:kern w:val="1"/>
                <w:lang w:eastAsia="ar-SA"/>
              </w:rPr>
            </w:pPr>
          </w:p>
        </w:tc>
      </w:tr>
      <w:tr w:rsidR="00D52D2A" w:rsidRPr="00082647" w:rsidTr="00D04975">
        <w:trPr>
          <w:trHeight w:val="238"/>
        </w:trPr>
        <w:tc>
          <w:tcPr>
            <w:tcW w:w="375" w:type="dxa"/>
            <w:shd w:val="clear" w:color="auto" w:fill="FFFFFF"/>
            <w:vAlign w:val="center"/>
          </w:tcPr>
          <w:p w:rsidR="00D52D2A" w:rsidRPr="00082647" w:rsidRDefault="00D52D2A" w:rsidP="00A01F88">
            <w:pPr>
              <w:jc w:val="center"/>
              <w:rPr>
                <w:rFonts w:cstheme="minorHAnsi"/>
                <w:kern w:val="1"/>
                <w:lang w:eastAsia="ar-SA"/>
              </w:rPr>
            </w:pPr>
          </w:p>
        </w:tc>
        <w:tc>
          <w:tcPr>
            <w:tcW w:w="10189" w:type="dxa"/>
            <w:gridSpan w:val="5"/>
            <w:shd w:val="clear" w:color="auto" w:fill="FFFFFF"/>
            <w:vAlign w:val="center"/>
          </w:tcPr>
          <w:p w:rsidR="00D52D2A" w:rsidRPr="00082647" w:rsidRDefault="00D52D2A" w:rsidP="005F5DFD">
            <w:pPr>
              <w:snapToGrid w:val="0"/>
              <w:rPr>
                <w:rFonts w:cstheme="minorHAnsi"/>
                <w:kern w:val="1"/>
                <w:lang w:eastAsia="ar-SA"/>
              </w:rPr>
            </w:pPr>
            <w:r w:rsidRPr="00082647">
              <w:rPr>
                <w:rFonts w:cstheme="minorHAnsi"/>
                <w:b/>
                <w:bCs/>
              </w:rPr>
              <w:t xml:space="preserve">                                                                                                                              RAZEM</w:t>
            </w:r>
          </w:p>
        </w:tc>
        <w:tc>
          <w:tcPr>
            <w:tcW w:w="1559" w:type="dxa"/>
            <w:shd w:val="clear" w:color="auto" w:fill="FFFFFF"/>
          </w:tcPr>
          <w:p w:rsidR="00D52D2A" w:rsidRPr="00082647" w:rsidRDefault="00D52D2A" w:rsidP="00A01F88">
            <w:pPr>
              <w:snapToGrid w:val="0"/>
              <w:rPr>
                <w:rFonts w:cstheme="minorHAnsi"/>
                <w:kern w:val="1"/>
                <w:lang w:eastAsia="ar-SA"/>
              </w:rPr>
            </w:pPr>
          </w:p>
        </w:tc>
        <w:tc>
          <w:tcPr>
            <w:tcW w:w="1946" w:type="dxa"/>
            <w:shd w:val="clear" w:color="auto" w:fill="FFFFFF"/>
            <w:vAlign w:val="center"/>
          </w:tcPr>
          <w:p w:rsidR="00D52D2A" w:rsidRPr="00082647" w:rsidRDefault="00D52D2A" w:rsidP="00A01F88">
            <w:pPr>
              <w:snapToGrid w:val="0"/>
              <w:rPr>
                <w:rFonts w:cstheme="minorHAnsi"/>
                <w:kern w:val="1"/>
                <w:lang w:eastAsia="ar-SA"/>
              </w:rPr>
            </w:pPr>
          </w:p>
        </w:tc>
      </w:tr>
    </w:tbl>
    <w:p w:rsidR="00DB578E" w:rsidRPr="00082647" w:rsidRDefault="00DB578E" w:rsidP="00082647">
      <w:pPr>
        <w:rPr>
          <w:rFonts w:cstheme="minorHAnsi"/>
          <w:b/>
          <w:kern w:val="1"/>
          <w:lang w:eastAsia="ar-SA"/>
        </w:rPr>
      </w:pPr>
      <w:r w:rsidRPr="00082647">
        <w:rPr>
          <w:rFonts w:cstheme="minorHAnsi"/>
          <w:kern w:val="1"/>
          <w:lang w:eastAsia="ar-SA"/>
        </w:rPr>
        <w:t>*wypełnia wykonawca</w:t>
      </w:r>
    </w:p>
    <w:p w:rsidR="00DB578E" w:rsidRPr="00082647" w:rsidRDefault="00DB578E" w:rsidP="00082647">
      <w:pPr>
        <w:jc w:val="right"/>
        <w:rPr>
          <w:rFonts w:cstheme="minorHAnsi"/>
        </w:rPr>
      </w:pPr>
      <w:r w:rsidRPr="00082647">
        <w:rPr>
          <w:rFonts w:cstheme="minorHAnsi"/>
          <w:b/>
          <w:kern w:val="1"/>
          <w:lang w:eastAsia="ar-SA"/>
        </w:rPr>
        <w:t xml:space="preserve">                                                                                                                                       </w:t>
      </w:r>
      <w:r w:rsidR="00D52D2A" w:rsidRPr="00082647">
        <w:rPr>
          <w:rFonts w:cstheme="minorHAnsi"/>
          <w:b/>
          <w:kern w:val="1"/>
          <w:lang w:eastAsia="ar-SA"/>
        </w:rPr>
        <w:t xml:space="preserve">                     </w:t>
      </w:r>
      <w:r w:rsidRPr="00082647">
        <w:rPr>
          <w:rFonts w:cstheme="minorHAnsi"/>
          <w:b/>
          <w:kern w:val="1"/>
          <w:lang w:eastAsia="ar-SA"/>
        </w:rPr>
        <w:t xml:space="preserve">                              </w:t>
      </w:r>
      <w:r w:rsidRPr="00082647">
        <w:rPr>
          <w:rFonts w:cstheme="minorHAnsi"/>
          <w:kern w:val="1"/>
          <w:lang w:eastAsia="ar-SA"/>
        </w:rPr>
        <w:t xml:space="preserve">…………………………………………………….                                                                                                                                            </w:t>
      </w:r>
      <w:r w:rsidR="005F5DFD" w:rsidRPr="00082647">
        <w:rPr>
          <w:rFonts w:cstheme="minorHAnsi"/>
          <w:kern w:val="1"/>
          <w:lang w:eastAsia="ar-SA"/>
        </w:rPr>
        <w:t xml:space="preserve">               </w:t>
      </w:r>
      <w:r w:rsidRPr="00082647">
        <w:rPr>
          <w:rFonts w:cstheme="minorHAnsi"/>
          <w:kern w:val="1"/>
          <w:lang w:eastAsia="ar-SA"/>
        </w:rPr>
        <w:t xml:space="preserve">                       </w:t>
      </w:r>
      <w:r w:rsidR="005F5DFD" w:rsidRPr="00082647">
        <w:rPr>
          <w:rFonts w:cstheme="minorHAnsi"/>
          <w:kern w:val="1"/>
          <w:lang w:eastAsia="ar-SA"/>
        </w:rPr>
        <w:t xml:space="preserve">                                                             </w:t>
      </w:r>
      <w:r w:rsidRPr="00082647">
        <w:rPr>
          <w:rFonts w:cstheme="minorHAnsi"/>
          <w:kern w:val="1"/>
          <w:lang w:eastAsia="ar-SA"/>
        </w:rPr>
        <w:t>podpis osoby upoważnionej do reprezentacji Wykonawcy</w:t>
      </w:r>
    </w:p>
    <w:sectPr w:rsidR="00DB578E" w:rsidRPr="00082647">
      <w:pgSz w:w="16838" w:h="11906" w:orient="landscape"/>
      <w:pgMar w:top="1417" w:right="1417" w:bottom="1417"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20C"/>
    <w:rsid w:val="00082647"/>
    <w:rsid w:val="001C58A5"/>
    <w:rsid w:val="002768D3"/>
    <w:rsid w:val="004C5ABB"/>
    <w:rsid w:val="005F5DFD"/>
    <w:rsid w:val="00887B88"/>
    <w:rsid w:val="00A659B8"/>
    <w:rsid w:val="00B0720C"/>
    <w:rsid w:val="00C840D7"/>
    <w:rsid w:val="00D52D2A"/>
    <w:rsid w:val="00DB578E"/>
    <w:rsid w:val="00E93548"/>
    <w:rsid w:val="00FB488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427886-2EDC-4F7D-9E80-A31D09B04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60" w:line="259" w:lineRule="auto"/>
    </w:pPr>
    <w:rPr>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qFormat/>
    <w:rsid w:val="000F2992"/>
    <w:rPr>
      <w:rFonts w:ascii="Segoe UI" w:hAnsi="Segoe UI" w:cs="Segoe UI"/>
      <w:sz w:val="18"/>
      <w:szCs w:val="18"/>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NormalnyWeb">
    <w:name w:val="Normal (Web)"/>
    <w:basedOn w:val="Normalny"/>
    <w:uiPriority w:val="99"/>
    <w:unhideWhenUsed/>
    <w:qFormat/>
    <w:rsid w:val="002D2A73"/>
    <w:pPr>
      <w:spacing w:beforeAutospacing="1" w:after="142" w:line="276"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qFormat/>
    <w:rsid w:val="000F2992"/>
    <w:pPr>
      <w:spacing w:after="0" w:line="240" w:lineRule="auto"/>
    </w:pPr>
    <w:rPr>
      <w:rFonts w:ascii="Segoe UI" w:hAnsi="Segoe UI" w:cs="Segoe UI"/>
      <w:sz w:val="18"/>
      <w:szCs w:val="18"/>
    </w:r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table" w:styleId="Tabela-Siatka">
    <w:name w:val="Table Grid"/>
    <w:basedOn w:val="Standardowy"/>
    <w:uiPriority w:val="39"/>
    <w:rsid w:val="00FA44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39"/>
    <w:rsid w:val="00282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880</TotalTime>
  <Pages>1</Pages>
  <Words>1960</Words>
  <Characters>11761</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akrzos</dc:creator>
  <dc:description/>
  <cp:lastModifiedBy>Agnieszka Studzińska</cp:lastModifiedBy>
  <cp:revision>149</cp:revision>
  <cp:lastPrinted>2024-05-07T08:57:00Z</cp:lastPrinted>
  <dcterms:created xsi:type="dcterms:W3CDTF">2021-02-26T08:41:00Z</dcterms:created>
  <dcterms:modified xsi:type="dcterms:W3CDTF">2024-05-08T07:32:00Z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