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84C2" w14:textId="6912770E" w:rsidR="00DF0C7B" w:rsidRDefault="00587EF1" w:rsidP="00587EF1">
      <w:pPr>
        <w:jc w:val="center"/>
      </w:pPr>
      <w:r>
        <w:t>Opis Przedmiotu Zamówienia</w:t>
      </w:r>
    </w:p>
    <w:p w14:paraId="046E4E73" w14:textId="7A1D926E" w:rsidR="00587EF1" w:rsidRDefault="00587EF1" w:rsidP="00587EF1">
      <w:pPr>
        <w:jc w:val="both"/>
      </w:pPr>
      <w:r>
        <w:t>Zadanie: „</w:t>
      </w:r>
      <w:r w:rsidRPr="00587EF1">
        <w:rPr>
          <w:b/>
          <w:bCs/>
        </w:rPr>
        <w:t>Montaż systemu pożarowego w hali GOSiR przy ul. Polnej w Komornikach”</w:t>
      </w:r>
      <w:r>
        <w:t xml:space="preserve"> </w:t>
      </w:r>
    </w:p>
    <w:p w14:paraId="5B877F45" w14:textId="782A56E6" w:rsidR="00587EF1" w:rsidRDefault="00587EF1" w:rsidP="00587EF1">
      <w:pPr>
        <w:jc w:val="both"/>
      </w:pPr>
    </w:p>
    <w:p w14:paraId="213D809B" w14:textId="77777777" w:rsidR="0020609A" w:rsidRPr="0089726C" w:rsidRDefault="0020609A" w:rsidP="00587EF1">
      <w:pPr>
        <w:rPr>
          <w:rFonts w:ascii="Arial" w:hAnsi="Arial" w:cs="Arial"/>
          <w:b/>
          <w:bCs/>
          <w:sz w:val="21"/>
          <w:szCs w:val="21"/>
        </w:rPr>
      </w:pPr>
      <w:r w:rsidRPr="0089726C">
        <w:rPr>
          <w:rFonts w:cstheme="minorHAnsi"/>
          <w:b/>
          <w:bCs/>
          <w:sz w:val="21"/>
          <w:szCs w:val="21"/>
        </w:rPr>
        <w:t>Zakres prac</w:t>
      </w:r>
      <w:r w:rsidRPr="0089726C">
        <w:rPr>
          <w:rFonts w:ascii="Arial" w:hAnsi="Arial" w:cs="Arial"/>
          <w:b/>
          <w:bCs/>
          <w:sz w:val="21"/>
          <w:szCs w:val="21"/>
        </w:rPr>
        <w:t>:</w:t>
      </w:r>
    </w:p>
    <w:p w14:paraId="7BB00713" w14:textId="4BBE4068" w:rsidR="00993DDC" w:rsidRDefault="0020609A" w:rsidP="00993DDC">
      <w:pPr>
        <w:pStyle w:val="Akapitzlist"/>
        <w:numPr>
          <w:ilvl w:val="0"/>
          <w:numId w:val="3"/>
        </w:numPr>
      </w:pPr>
      <w:r>
        <w:t>Opracowanie niezbędnej dokumentacji technicznej</w:t>
      </w:r>
      <w:r w:rsidR="00993DDC">
        <w:t xml:space="preserve"> montażu</w:t>
      </w:r>
      <w:r w:rsidR="00993DDC" w:rsidRPr="00993DDC">
        <w:t xml:space="preserve"> </w:t>
      </w:r>
      <w:r w:rsidR="00993DDC" w:rsidRPr="0020609A">
        <w:t>zestawu do podnoszenia ciśnienia wody</w:t>
      </w:r>
      <w:r w:rsidR="00993DDC">
        <w:t xml:space="preserve"> .</w:t>
      </w:r>
    </w:p>
    <w:p w14:paraId="58E3F7FB" w14:textId="7CB519A6" w:rsidR="0020609A" w:rsidRDefault="00993DDC" w:rsidP="00993DDC">
      <w:pPr>
        <w:pStyle w:val="Akapitzlist"/>
        <w:numPr>
          <w:ilvl w:val="0"/>
          <w:numId w:val="3"/>
        </w:numPr>
      </w:pPr>
      <w:r>
        <w:t xml:space="preserve">Uzgodnienie dokumentacji z </w:t>
      </w:r>
      <w:r w:rsidR="0020609A">
        <w:t xml:space="preserve"> </w:t>
      </w:r>
      <w:r w:rsidRPr="0020609A">
        <w:t>rzeczoznawc</w:t>
      </w:r>
      <w:r>
        <w:t xml:space="preserve">ą </w:t>
      </w:r>
      <w:r w:rsidRPr="0020609A">
        <w:t xml:space="preserve"> z zakresu p.poż.</w:t>
      </w:r>
    </w:p>
    <w:p w14:paraId="5039202F" w14:textId="435C3C6C" w:rsidR="0020609A" w:rsidRDefault="00587EF1" w:rsidP="0020609A">
      <w:pPr>
        <w:pStyle w:val="Akapitzlist"/>
        <w:numPr>
          <w:ilvl w:val="0"/>
          <w:numId w:val="3"/>
        </w:numPr>
      </w:pPr>
      <w:r w:rsidRPr="0020609A">
        <w:t>Montaż zestawu do podnoszenia ciśnienia wody</w:t>
      </w:r>
      <w:r w:rsidR="00993DDC">
        <w:t>.</w:t>
      </w:r>
      <w:r w:rsidRPr="0020609A">
        <w:t xml:space="preserve"> </w:t>
      </w:r>
    </w:p>
    <w:p w14:paraId="62214488" w14:textId="61DE60ED" w:rsidR="00587EF1" w:rsidRDefault="0020609A" w:rsidP="0020609A">
      <w:pPr>
        <w:pStyle w:val="Akapitzlist"/>
        <w:numPr>
          <w:ilvl w:val="0"/>
          <w:numId w:val="3"/>
        </w:numPr>
      </w:pPr>
      <w:r>
        <w:t>W</w:t>
      </w:r>
      <w:r w:rsidR="00587EF1" w:rsidRPr="0020609A">
        <w:t>ykonanie oddzielnej instalacji p.pożarowej (rozbicie na wodę bytową i p.pożarową) w obiekcie hali sportowej w Komornikach przy ul. Polnej 37.</w:t>
      </w:r>
    </w:p>
    <w:p w14:paraId="2B395B76" w14:textId="26EF573C" w:rsidR="0089726C" w:rsidRPr="0020609A" w:rsidRDefault="0089726C" w:rsidP="0020609A">
      <w:pPr>
        <w:pStyle w:val="Akapitzlist"/>
        <w:numPr>
          <w:ilvl w:val="0"/>
          <w:numId w:val="3"/>
        </w:numPr>
      </w:pPr>
      <w:r>
        <w:t>Wykonanie próby szczelności instalacji wodnej.</w:t>
      </w:r>
    </w:p>
    <w:p w14:paraId="0977AD89" w14:textId="1F548BB5" w:rsidR="0089726C" w:rsidRDefault="0089726C" w:rsidP="00786895">
      <w:pPr>
        <w:jc w:val="both"/>
        <w:rPr>
          <w:b/>
          <w:bCs/>
        </w:rPr>
      </w:pPr>
    </w:p>
    <w:p w14:paraId="6BD10E1F" w14:textId="77777777" w:rsidR="0089726C" w:rsidRDefault="0089726C" w:rsidP="0089726C">
      <w:pPr>
        <w:ind w:left="426"/>
        <w:jc w:val="both"/>
        <w:rPr>
          <w:b/>
          <w:bCs/>
        </w:rPr>
      </w:pPr>
      <w:r>
        <w:rPr>
          <w:b/>
          <w:bCs/>
        </w:rPr>
        <w:t>Wymagania stawiane wykonawcy:</w:t>
      </w:r>
    </w:p>
    <w:p w14:paraId="4E17B2C6" w14:textId="77777777" w:rsidR="0089726C" w:rsidRDefault="0089726C" w:rsidP="0089726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Kierownik budowy – minimum jedna osoba posiadająca uprawnienia budowlane w specjalności instalacyjnej bez ograniczeń zgodne z ustawą z dnia 7 lipca 1994 r. – Prawo budowlane (Dz. U. z 2017 poz. 1332 ze zm.) lub równoważne im ważne uprawnienia wydane według wcześniejszych przepisów w wymaganej specjalności dla prowadzonych robót, wraz z ważnym członkostwem właściwej Okręgowej Izby Inżynierów.</w:t>
      </w:r>
    </w:p>
    <w:p w14:paraId="7E3224FA" w14:textId="77777777" w:rsidR="0089726C" w:rsidRDefault="0089726C" w:rsidP="0089726C">
      <w:pPr>
        <w:pStyle w:val="Akapitzlist"/>
        <w:ind w:left="786"/>
        <w:jc w:val="both"/>
      </w:pPr>
    </w:p>
    <w:p w14:paraId="42F1B4FE" w14:textId="77777777" w:rsidR="0089726C" w:rsidRDefault="0089726C" w:rsidP="0089726C">
      <w:pPr>
        <w:pStyle w:val="Akapitzlist"/>
        <w:ind w:left="786"/>
        <w:jc w:val="both"/>
      </w:pPr>
    </w:p>
    <w:p w14:paraId="4DB94053" w14:textId="77777777" w:rsidR="0089726C" w:rsidRDefault="0089726C" w:rsidP="0089726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Dotyczące zdolności technicznej lub zawodowej:</w:t>
      </w:r>
    </w:p>
    <w:p w14:paraId="56E59800" w14:textId="77777777" w:rsidR="0089726C" w:rsidRDefault="0089726C" w:rsidP="0089726C">
      <w:pPr>
        <w:pStyle w:val="Akapitzlist"/>
        <w:ind w:left="786"/>
        <w:jc w:val="both"/>
      </w:pPr>
    </w:p>
    <w:p w14:paraId="41052EC3" w14:textId="49BBBEDA" w:rsidR="0089726C" w:rsidRDefault="0089726C" w:rsidP="0089726C">
      <w:pPr>
        <w:ind w:left="426"/>
        <w:jc w:val="both"/>
      </w:pPr>
      <w:bookmarkStart w:id="0" w:name="_Hlk523740511"/>
      <w:r>
        <w:t xml:space="preserve">Wykonawca samodzielnie lub jeden z konsorcjantów lub inny podmiot, na którego zdolnościach technicznych lub zawodowych polega Wykonawca (doświadczenie w/w podmiotów nie sumuje się) wykaże, że nie wcześniej niż w okresie ostatnich 5 lat przed upływem terminu składania ofert, a jeżeli okres prowadzenia działalności jest krótszy - w tym okresie, wykonał co najmniej </w:t>
      </w:r>
      <w:r w:rsidR="00DB0C95">
        <w:t xml:space="preserve">jedną </w:t>
      </w:r>
      <w:r>
        <w:t>robot</w:t>
      </w:r>
      <w:r w:rsidR="00DB0C95">
        <w:t>ę</w:t>
      </w:r>
      <w:r>
        <w:t xml:space="preserve"> instalacyjn</w:t>
      </w:r>
      <w:r w:rsidR="00DB0C95">
        <w:t xml:space="preserve">ą </w:t>
      </w:r>
      <w:r>
        <w:t xml:space="preserve">obejmującą budowę instalacji wodociągowej </w:t>
      </w:r>
      <w:r w:rsidR="00DB0C95">
        <w:t>wraz</w:t>
      </w:r>
      <w:r>
        <w:t xml:space="preserve">  z podnoszeniem  ciśnienia </w:t>
      </w:r>
      <w:r w:rsidR="00DB0C95">
        <w:t xml:space="preserve">o </w:t>
      </w:r>
      <w:r>
        <w:t>wartości 50.000zł oraz  załączy dow</w:t>
      </w:r>
      <w:r w:rsidR="00DB0C95">
        <w:t>ód</w:t>
      </w:r>
      <w:r>
        <w:t xml:space="preserve"> określając</w:t>
      </w:r>
      <w:r w:rsidR="00DB0C95">
        <w:t>y</w:t>
      </w:r>
      <w:r>
        <w:t>, że robot</w:t>
      </w:r>
      <w:r w:rsidR="00DB0C95">
        <w:t xml:space="preserve">a </w:t>
      </w:r>
      <w:r>
        <w:t>t</w:t>
      </w:r>
      <w:r w:rsidR="00DB0C95">
        <w:t>a</w:t>
      </w:r>
      <w:r>
        <w:t xml:space="preserve"> został</w:t>
      </w:r>
      <w:r w:rsidR="00DB0C95">
        <w:t>a</w:t>
      </w:r>
      <w:r>
        <w:t xml:space="preserve"> wykonan</w:t>
      </w:r>
      <w:r w:rsidR="00DB0C95">
        <w:t>a</w:t>
      </w:r>
      <w:r>
        <w:t xml:space="preserve"> należycie, w szczególności zaś informację o tym, czy robot</w:t>
      </w:r>
      <w:r w:rsidR="00DB0C95">
        <w:t xml:space="preserve">a </w:t>
      </w:r>
      <w:r>
        <w:t>został</w:t>
      </w:r>
      <w:r w:rsidR="00DB0C95">
        <w:t>a</w:t>
      </w:r>
      <w:r>
        <w:t xml:space="preserve"> wykonan</w:t>
      </w:r>
      <w:r w:rsidR="00DB0C95">
        <w:t>a</w:t>
      </w:r>
      <w:r>
        <w:t xml:space="preserve"> zgodnie z przepisami prawa budowlanego i prawidłowo ukończone</w:t>
      </w:r>
      <w:bookmarkEnd w:id="0"/>
      <w:r>
        <w:t>.</w:t>
      </w:r>
    </w:p>
    <w:p w14:paraId="0E73C6F2" w14:textId="16A117B2" w:rsidR="0089726C" w:rsidRDefault="0089726C" w:rsidP="0089726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9726C">
        <w:t xml:space="preserve">Zamawiający </w:t>
      </w:r>
      <w:r>
        <w:t>nie przewiduje obowiązkowej wizji lokalnej.</w:t>
      </w:r>
    </w:p>
    <w:p w14:paraId="4D1636F2" w14:textId="2FD61495" w:rsidR="0089726C" w:rsidRPr="0089726C" w:rsidRDefault="0089726C" w:rsidP="0089726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9726C">
        <w:t>Zamawiający</w:t>
      </w:r>
      <w:r>
        <w:t xml:space="preserve"> przekaże </w:t>
      </w:r>
      <w:r w:rsidR="0093150B">
        <w:t xml:space="preserve">opracowanie „Analizy technicznej istniejącej  instalacji hydrantowej” wraz z wynikami pomiarów hydrantów zewnętrznych. </w:t>
      </w:r>
    </w:p>
    <w:p w14:paraId="7EDFC4DB" w14:textId="76343D07" w:rsidR="0089726C" w:rsidRDefault="0089726C" w:rsidP="0089726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 </w:t>
      </w:r>
      <w:r w:rsidRPr="00864C32">
        <w:rPr>
          <w:b/>
          <w:bCs/>
        </w:rPr>
        <w:t>Gwarancja wykonania</w:t>
      </w:r>
      <w:r w:rsidRPr="00864C32">
        <w:t xml:space="preserve">  na urządzenia – min. 12 m-cy od daty montażu.</w:t>
      </w:r>
    </w:p>
    <w:p w14:paraId="0C8CFC88" w14:textId="77777777" w:rsidR="0089726C" w:rsidRDefault="0089726C" w:rsidP="0089726C">
      <w:pPr>
        <w:jc w:val="both"/>
      </w:pPr>
    </w:p>
    <w:p w14:paraId="17C0A8D4" w14:textId="1E2475AB" w:rsidR="0089726C" w:rsidRDefault="0089726C" w:rsidP="0089726C">
      <w:pPr>
        <w:ind w:left="426"/>
        <w:jc w:val="both"/>
        <w:rPr>
          <w:b/>
          <w:bCs/>
        </w:rPr>
      </w:pPr>
      <w:r>
        <w:rPr>
          <w:b/>
          <w:bCs/>
        </w:rPr>
        <w:t>Termin wykonania - 17.12.2021r.</w:t>
      </w:r>
    </w:p>
    <w:p w14:paraId="55198210" w14:textId="77777777" w:rsidR="0089726C" w:rsidRDefault="0089726C" w:rsidP="0089726C">
      <w:pPr>
        <w:ind w:left="426"/>
        <w:jc w:val="both"/>
        <w:rPr>
          <w:b/>
          <w:bCs/>
        </w:rPr>
      </w:pPr>
    </w:p>
    <w:p w14:paraId="4E9F90BB" w14:textId="77777777" w:rsidR="0089726C" w:rsidRDefault="0089726C" w:rsidP="0089726C">
      <w:pPr>
        <w:spacing w:before="100" w:beforeAutospacing="1" w:after="100" w:afterAutospacing="1" w:line="312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Kryteria : cena + gwarancja ( do 48 m-cy)</w:t>
      </w:r>
    </w:p>
    <w:p w14:paraId="5A802582" w14:textId="77777777" w:rsidR="0089726C" w:rsidRDefault="0089726C" w:rsidP="0089726C">
      <w:pPr>
        <w:widowControl w:val="0"/>
        <w:tabs>
          <w:tab w:val="num" w:pos="993"/>
        </w:tabs>
        <w:suppressAutoHyphens/>
        <w:autoSpaceDE w:val="0"/>
        <w:autoSpaceDN w:val="0"/>
        <w:spacing w:after="0" w:line="312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Kryteria oceny ofert i ich znaczenie oraz opis sposobu oceny ofert:</w:t>
      </w:r>
    </w:p>
    <w:p w14:paraId="012BC253" w14:textId="77777777" w:rsidR="0089726C" w:rsidRDefault="0089726C" w:rsidP="0089726C">
      <w:pPr>
        <w:numPr>
          <w:ilvl w:val="0"/>
          <w:numId w:val="5"/>
        </w:numPr>
        <w:tabs>
          <w:tab w:val="left" w:pos="1418"/>
        </w:tabs>
        <w:suppressAutoHyphens/>
        <w:spacing w:before="100" w:beforeAutospacing="1" w:after="100" w:afterAutospacing="1" w:line="312" w:lineRule="auto"/>
        <w:ind w:hanging="720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Kryterium „Cena” w PLN:</w:t>
      </w:r>
    </w:p>
    <w:p w14:paraId="06CA9251" w14:textId="77777777" w:rsidR="0089726C" w:rsidRDefault="0089726C" w:rsidP="0089726C">
      <w:pPr>
        <w:numPr>
          <w:ilvl w:val="0"/>
          <w:numId w:val="6"/>
        </w:numPr>
        <w:tabs>
          <w:tab w:val="left" w:pos="1418"/>
        </w:tabs>
        <w:suppressAutoHyphens/>
        <w:spacing w:before="100" w:beforeAutospacing="1" w:after="100" w:afterAutospacing="1" w:line="288" w:lineRule="auto"/>
        <w:ind w:left="1843" w:hanging="425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znaczenie kryterium - 60% (60 pkt);</w:t>
      </w:r>
    </w:p>
    <w:p w14:paraId="245BEEB1" w14:textId="77777777" w:rsidR="0089726C" w:rsidRDefault="0089726C" w:rsidP="0089726C">
      <w:pPr>
        <w:numPr>
          <w:ilvl w:val="0"/>
          <w:numId w:val="6"/>
        </w:numPr>
        <w:tabs>
          <w:tab w:val="left" w:pos="1418"/>
        </w:tabs>
        <w:suppressAutoHyphens/>
        <w:spacing w:before="100" w:beforeAutospacing="1" w:after="100" w:afterAutospacing="1" w:line="288" w:lineRule="auto"/>
        <w:ind w:left="1843" w:hanging="425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opis sposobu oceny ofert dla kryterium „Cena”: </w:t>
      </w:r>
    </w:p>
    <w:p w14:paraId="75E0C34B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Cn </w:t>
      </w:r>
    </w:p>
    <w:p w14:paraId="4AB10546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 = ------------ x100 pkt x 60 %</w:t>
      </w:r>
    </w:p>
    <w:p w14:paraId="04243BC1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Co </w:t>
      </w:r>
    </w:p>
    <w:p w14:paraId="7D150F1C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gdzie:</w:t>
      </w:r>
    </w:p>
    <w:p w14:paraId="2BF1A7A0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 – liczba punktów w ramach kryterium „Cena”,</w:t>
      </w:r>
    </w:p>
    <w:p w14:paraId="70B861BD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Cn - najniższa cena spośród ofert ocenianych dla danej części zamówienia</w:t>
      </w:r>
    </w:p>
    <w:p w14:paraId="6C8A8DD6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Co - cena oferty ocenianej dla danej części zamówienia</w:t>
      </w:r>
    </w:p>
    <w:p w14:paraId="1A704674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Ocenie w ramach kryterium „Cena” podlegać będzie cena łączna brutto podana                 w formularzu ofertowym </w:t>
      </w:r>
    </w:p>
    <w:p w14:paraId="604B7F6B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tym kryterium Wykonawca może uzyskać maksymalnie 60 punktów.</w:t>
      </w:r>
    </w:p>
    <w:p w14:paraId="4B641D50" w14:textId="77777777" w:rsidR="0089726C" w:rsidRDefault="0089726C" w:rsidP="0089726C">
      <w:pPr>
        <w:tabs>
          <w:tab w:val="left" w:pos="1418"/>
        </w:tabs>
        <w:suppressAutoHyphens/>
        <w:spacing w:after="0" w:line="288" w:lineRule="auto"/>
        <w:ind w:left="1418"/>
        <w:contextualSpacing/>
        <w:jc w:val="both"/>
        <w:rPr>
          <w:rFonts w:eastAsia="Times New Roman" w:cs="Arial"/>
          <w:lang w:eastAsia="pl-PL"/>
        </w:rPr>
      </w:pPr>
    </w:p>
    <w:p w14:paraId="5AC5600D" w14:textId="77777777" w:rsidR="0089726C" w:rsidRDefault="0089726C" w:rsidP="0089726C">
      <w:pPr>
        <w:numPr>
          <w:ilvl w:val="0"/>
          <w:numId w:val="7"/>
        </w:numPr>
        <w:tabs>
          <w:tab w:val="left" w:pos="1418"/>
        </w:tabs>
        <w:suppressAutoHyphens/>
        <w:spacing w:before="100" w:beforeAutospacing="1" w:after="100" w:afterAutospacing="1" w:line="288" w:lineRule="auto"/>
        <w:ind w:hanging="578"/>
        <w:contextualSpacing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Kryterium „Okres gwarancji” (G) w miesiącach:</w:t>
      </w:r>
    </w:p>
    <w:p w14:paraId="6102B254" w14:textId="77777777" w:rsidR="0089726C" w:rsidRDefault="0089726C" w:rsidP="0089726C">
      <w:pPr>
        <w:numPr>
          <w:ilvl w:val="0"/>
          <w:numId w:val="8"/>
        </w:numPr>
        <w:tabs>
          <w:tab w:val="left" w:pos="851"/>
          <w:tab w:val="left" w:pos="1843"/>
        </w:tabs>
        <w:suppressAutoHyphens/>
        <w:spacing w:before="100" w:beforeAutospacing="1" w:after="100" w:afterAutospacing="1" w:line="288" w:lineRule="auto"/>
        <w:ind w:left="1843" w:hanging="425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znaczenie kryterium - 40% (40 pkt);</w:t>
      </w:r>
    </w:p>
    <w:p w14:paraId="3F803807" w14:textId="77777777" w:rsidR="0089726C" w:rsidRDefault="0089726C" w:rsidP="0089726C">
      <w:pPr>
        <w:widowControl w:val="0"/>
        <w:numPr>
          <w:ilvl w:val="0"/>
          <w:numId w:val="8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 w:line="288" w:lineRule="auto"/>
        <w:ind w:left="1843" w:hanging="425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opis sposobu oceny ofert dla kryterium </w:t>
      </w:r>
      <w:r>
        <w:rPr>
          <w:rFonts w:eastAsia="Times New Roman" w:cs="Arial"/>
          <w:b/>
          <w:lang w:eastAsia="pl-PL"/>
        </w:rPr>
        <w:t>„Okres gwarancji”:</w:t>
      </w:r>
      <w:r>
        <w:rPr>
          <w:rFonts w:eastAsia="Times New Roman" w:cs="Arial"/>
          <w:lang w:eastAsia="pl-PL"/>
        </w:rPr>
        <w:t xml:space="preserve"> </w:t>
      </w:r>
    </w:p>
    <w:p w14:paraId="34F23385" w14:textId="77777777" w:rsidR="0089726C" w:rsidRDefault="0089726C" w:rsidP="0089726C">
      <w:pPr>
        <w:widowControl w:val="0"/>
        <w:tabs>
          <w:tab w:val="left" w:pos="851"/>
        </w:tabs>
        <w:suppressAutoHyphens/>
        <w:spacing w:after="0" w:line="288" w:lineRule="auto"/>
        <w:ind w:left="184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Gn </w:t>
      </w:r>
    </w:p>
    <w:p w14:paraId="4AAF3A06" w14:textId="77777777" w:rsidR="0089726C" w:rsidRDefault="0089726C" w:rsidP="0089726C">
      <w:pPr>
        <w:widowControl w:val="0"/>
        <w:tabs>
          <w:tab w:val="left" w:pos="851"/>
        </w:tabs>
        <w:suppressAutoHyphens/>
        <w:spacing w:after="0" w:line="288" w:lineRule="auto"/>
        <w:ind w:left="184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G = ------------ x100 pkt x 40 %</w:t>
      </w:r>
    </w:p>
    <w:p w14:paraId="3F51E7AC" w14:textId="77777777" w:rsidR="0089726C" w:rsidRDefault="0089726C" w:rsidP="0089726C">
      <w:pPr>
        <w:widowControl w:val="0"/>
        <w:tabs>
          <w:tab w:val="left" w:pos="851"/>
        </w:tabs>
        <w:suppressAutoHyphens/>
        <w:spacing w:after="0" w:line="288" w:lineRule="auto"/>
        <w:ind w:left="184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Go </w:t>
      </w:r>
    </w:p>
    <w:p w14:paraId="4431961D" w14:textId="77777777" w:rsidR="0089726C" w:rsidRDefault="0089726C" w:rsidP="0089726C">
      <w:pPr>
        <w:widowControl w:val="0"/>
        <w:tabs>
          <w:tab w:val="left" w:pos="1843"/>
        </w:tabs>
        <w:suppressAutoHyphens/>
        <w:spacing w:after="0" w:line="288" w:lineRule="auto"/>
        <w:ind w:left="184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gdzie:</w:t>
      </w:r>
    </w:p>
    <w:p w14:paraId="3D58AE34" w14:textId="77777777" w:rsidR="0089726C" w:rsidRDefault="0089726C" w:rsidP="0089726C">
      <w:pPr>
        <w:tabs>
          <w:tab w:val="left" w:pos="1985"/>
        </w:tabs>
        <w:suppressAutoHyphens/>
        <w:spacing w:after="0" w:line="288" w:lineRule="auto"/>
        <w:ind w:left="1985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 – liczba punktów w ramach kryterium „Okres gwarancji”,</w:t>
      </w:r>
    </w:p>
    <w:p w14:paraId="0E1FC84D" w14:textId="77777777" w:rsidR="0089726C" w:rsidRDefault="0089726C" w:rsidP="0089726C">
      <w:pPr>
        <w:tabs>
          <w:tab w:val="left" w:pos="1843"/>
          <w:tab w:val="left" w:pos="1985"/>
        </w:tabs>
        <w:suppressAutoHyphens/>
        <w:spacing w:after="0" w:line="312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Gn - okres gwarancji w ofercie z najdłuższym okresem gwarancji liczonym w miesiącach </w:t>
      </w:r>
    </w:p>
    <w:p w14:paraId="7453E96B" w14:textId="77777777" w:rsidR="0089726C" w:rsidRDefault="0089726C" w:rsidP="0089726C">
      <w:pPr>
        <w:tabs>
          <w:tab w:val="left" w:pos="1843"/>
          <w:tab w:val="left" w:pos="1985"/>
        </w:tabs>
        <w:suppressAutoHyphens/>
        <w:spacing w:after="0" w:line="312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Go - okres gwarancji liczonych w miesiącach oferty ocenianej </w:t>
      </w:r>
    </w:p>
    <w:p w14:paraId="522E9798" w14:textId="77777777" w:rsidR="0089726C" w:rsidRDefault="0089726C" w:rsidP="0089726C">
      <w:pPr>
        <w:widowControl w:val="0"/>
        <w:tabs>
          <w:tab w:val="left" w:pos="1843"/>
        </w:tabs>
        <w:suppressAutoHyphens/>
        <w:spacing w:after="0" w:line="312" w:lineRule="auto"/>
        <w:ind w:left="1843"/>
        <w:jc w:val="both"/>
        <w:rPr>
          <w:rFonts w:eastAsia="Times New Roman" w:cs="Arial"/>
          <w:lang w:eastAsia="pl-PL"/>
        </w:rPr>
      </w:pPr>
    </w:p>
    <w:p w14:paraId="607A8772" w14:textId="77777777" w:rsidR="0089726C" w:rsidRDefault="0089726C" w:rsidP="0089726C">
      <w:pPr>
        <w:widowControl w:val="0"/>
        <w:tabs>
          <w:tab w:val="left" w:pos="1985"/>
        </w:tabs>
        <w:suppressAutoHyphens/>
        <w:spacing w:after="0" w:line="312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Wykonawca podaje okres gwarancji w liczbach całkowitych. </w:t>
      </w:r>
      <w:r>
        <w:rPr>
          <w:rFonts w:eastAsia="Times New Roman" w:cs="Arial"/>
          <w:b/>
          <w:lang w:eastAsia="pl-PL"/>
        </w:rPr>
        <w:t xml:space="preserve">Okres gwarancji nie może być krótszy niż 24 miesiące oraz dłuższy niż  48 miesięcy.                           </w:t>
      </w:r>
    </w:p>
    <w:p w14:paraId="57AB0976" w14:textId="77777777" w:rsidR="0089726C" w:rsidRDefault="0089726C" w:rsidP="0089726C">
      <w:pPr>
        <w:widowControl w:val="0"/>
        <w:tabs>
          <w:tab w:val="left" w:pos="1985"/>
        </w:tabs>
        <w:suppressAutoHyphens/>
        <w:spacing w:after="0" w:line="312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przypadku podania przez wykonawcę okresu gwarancji dłuższego niż  48 miesięcy, do oceny ofert zostanie przyjęty okres gwarancji wynoszący 48 miesięcy.</w:t>
      </w:r>
    </w:p>
    <w:p w14:paraId="5796E708" w14:textId="77777777" w:rsidR="0089726C" w:rsidRDefault="0089726C" w:rsidP="0089726C">
      <w:pPr>
        <w:tabs>
          <w:tab w:val="left" w:pos="1985"/>
        </w:tabs>
        <w:autoSpaceDE w:val="0"/>
        <w:autoSpaceDN w:val="0"/>
        <w:spacing w:after="0" w:line="312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UWAGA: minimalny okres gwarancji wynosi 24 miesiące. </w:t>
      </w:r>
    </w:p>
    <w:p w14:paraId="5329FEB6" w14:textId="77777777" w:rsidR="0089726C" w:rsidRDefault="0089726C" w:rsidP="0089726C">
      <w:pPr>
        <w:tabs>
          <w:tab w:val="left" w:pos="1985"/>
        </w:tabs>
        <w:autoSpaceDE w:val="0"/>
        <w:autoSpaceDN w:val="0"/>
        <w:spacing w:after="0" w:line="312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Zaoferowanie okresu gwarancji krótszego niż 24 miesiące spowoduje odrzucenie oferty.</w:t>
      </w:r>
    </w:p>
    <w:p w14:paraId="55EC7854" w14:textId="77777777" w:rsidR="0089726C" w:rsidRDefault="0089726C" w:rsidP="0089726C">
      <w:pPr>
        <w:ind w:left="426"/>
        <w:jc w:val="both"/>
        <w:rPr>
          <w:b/>
          <w:bCs/>
        </w:rPr>
      </w:pPr>
    </w:p>
    <w:p w14:paraId="6EC3CEBE" w14:textId="4F4906C2" w:rsidR="00993DDC" w:rsidRDefault="00993DDC" w:rsidP="00587EF1">
      <w:pPr>
        <w:jc w:val="both"/>
      </w:pPr>
    </w:p>
    <w:sectPr w:rsidR="0099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FA"/>
    <w:multiLevelType w:val="hybridMultilevel"/>
    <w:tmpl w:val="B4DE2FD8"/>
    <w:lvl w:ilvl="0" w:tplc="CAE8D802">
      <w:start w:val="1"/>
      <w:numFmt w:val="upperLetter"/>
      <w:lvlText w:val="%1."/>
      <w:lvlJc w:val="left"/>
      <w:pPr>
        <w:ind w:left="1713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53"/>
    <w:multiLevelType w:val="hybridMultilevel"/>
    <w:tmpl w:val="74BE173C"/>
    <w:lvl w:ilvl="0" w:tplc="80942126">
      <w:start w:val="2"/>
      <w:numFmt w:val="upperLetter"/>
      <w:lvlText w:val="%1."/>
      <w:lvlJc w:val="left"/>
      <w:pPr>
        <w:ind w:left="1571" w:hanging="360"/>
      </w:pPr>
      <w:rPr>
        <w:rFonts w:ascii="Calibri" w:hAnsi="Calibri" w:cs="Times New Roman"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CC1"/>
    <w:multiLevelType w:val="hybridMultilevel"/>
    <w:tmpl w:val="AC32731A"/>
    <w:lvl w:ilvl="0" w:tplc="0D1E78C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984F2B"/>
    <w:multiLevelType w:val="hybridMultilevel"/>
    <w:tmpl w:val="F7D8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EE8"/>
    <w:multiLevelType w:val="multilevel"/>
    <w:tmpl w:val="D95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D5F10"/>
    <w:multiLevelType w:val="hybridMultilevel"/>
    <w:tmpl w:val="02861C08"/>
    <w:lvl w:ilvl="0" w:tplc="5130168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981A2F"/>
    <w:multiLevelType w:val="hybridMultilevel"/>
    <w:tmpl w:val="8A626548"/>
    <w:lvl w:ilvl="0" w:tplc="8C1A63FC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690" w:hanging="360"/>
      </w:pPr>
    </w:lvl>
    <w:lvl w:ilvl="2" w:tplc="0415001B">
      <w:start w:val="1"/>
      <w:numFmt w:val="lowerRoman"/>
      <w:lvlText w:val="%3."/>
      <w:lvlJc w:val="right"/>
      <w:pPr>
        <w:ind w:left="1410" w:hanging="180"/>
      </w:pPr>
    </w:lvl>
    <w:lvl w:ilvl="3" w:tplc="0415000F">
      <w:start w:val="1"/>
      <w:numFmt w:val="decimal"/>
      <w:lvlText w:val="%4."/>
      <w:lvlJc w:val="left"/>
      <w:pPr>
        <w:ind w:left="2130" w:hanging="360"/>
      </w:pPr>
    </w:lvl>
    <w:lvl w:ilvl="4" w:tplc="04150019">
      <w:start w:val="1"/>
      <w:numFmt w:val="lowerLetter"/>
      <w:lvlText w:val="%5."/>
      <w:lvlJc w:val="left"/>
      <w:pPr>
        <w:ind w:left="2850" w:hanging="360"/>
      </w:pPr>
    </w:lvl>
    <w:lvl w:ilvl="5" w:tplc="0415001B">
      <w:start w:val="1"/>
      <w:numFmt w:val="lowerRoman"/>
      <w:lvlText w:val="%6."/>
      <w:lvlJc w:val="right"/>
      <w:pPr>
        <w:ind w:left="3570" w:hanging="180"/>
      </w:pPr>
    </w:lvl>
    <w:lvl w:ilvl="6" w:tplc="0415000F">
      <w:start w:val="1"/>
      <w:numFmt w:val="decimal"/>
      <w:lvlText w:val="%7."/>
      <w:lvlJc w:val="left"/>
      <w:pPr>
        <w:ind w:left="4290" w:hanging="360"/>
      </w:pPr>
    </w:lvl>
    <w:lvl w:ilvl="7" w:tplc="04150019">
      <w:start w:val="1"/>
      <w:numFmt w:val="lowerLetter"/>
      <w:lvlText w:val="%8."/>
      <w:lvlJc w:val="left"/>
      <w:pPr>
        <w:ind w:left="5010" w:hanging="360"/>
      </w:pPr>
    </w:lvl>
    <w:lvl w:ilvl="8" w:tplc="0415001B">
      <w:start w:val="1"/>
      <w:numFmt w:val="lowerRoman"/>
      <w:lvlText w:val="%9."/>
      <w:lvlJc w:val="right"/>
      <w:pPr>
        <w:ind w:left="5730" w:hanging="180"/>
      </w:pPr>
    </w:lvl>
  </w:abstractNum>
  <w:abstractNum w:abstractNumId="7" w15:restartNumberingAfterBreak="0">
    <w:nsid w:val="5A09515B"/>
    <w:multiLevelType w:val="multilevel"/>
    <w:tmpl w:val="B1B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1"/>
    <w:rsid w:val="0020609A"/>
    <w:rsid w:val="00587EF1"/>
    <w:rsid w:val="00786895"/>
    <w:rsid w:val="0089726C"/>
    <w:rsid w:val="0093150B"/>
    <w:rsid w:val="00993DDC"/>
    <w:rsid w:val="00CD1B11"/>
    <w:rsid w:val="00DB0C95"/>
    <w:rsid w:val="00DF0C7B"/>
    <w:rsid w:val="00E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04E5"/>
  <w15:chartTrackingRefBased/>
  <w15:docId w15:val="{B3D283B8-67A0-4A0C-B269-76CCDD9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Jezierska</dc:creator>
  <cp:keywords/>
  <dc:description/>
  <cp:lastModifiedBy>Karolina Wilak</cp:lastModifiedBy>
  <cp:revision>3</cp:revision>
  <dcterms:created xsi:type="dcterms:W3CDTF">2021-09-06T14:15:00Z</dcterms:created>
  <dcterms:modified xsi:type="dcterms:W3CDTF">2021-09-07T05:58:00Z</dcterms:modified>
</cp:coreProperties>
</file>