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1416" w14:textId="6D672A78" w:rsidR="00DE05D6" w:rsidRPr="00DE05D6" w:rsidRDefault="00DE05D6" w:rsidP="00DE05D6">
      <w:pPr>
        <w:jc w:val="right"/>
        <w:rPr>
          <w:rFonts w:asciiTheme="majorHAnsi" w:hAnsiTheme="majorHAnsi"/>
        </w:rPr>
      </w:pPr>
      <w:r w:rsidRPr="00DE05D6">
        <w:rPr>
          <w:rFonts w:asciiTheme="majorHAnsi" w:hAnsiTheme="majorHAnsi"/>
          <w:b/>
          <w:bCs/>
        </w:rPr>
        <w:t xml:space="preserve">Załącznik nr </w:t>
      </w:r>
      <w:r w:rsidR="00315757">
        <w:rPr>
          <w:rFonts w:asciiTheme="majorHAnsi" w:hAnsiTheme="majorHAnsi"/>
          <w:b/>
          <w:bCs/>
        </w:rPr>
        <w:t>2</w:t>
      </w:r>
    </w:p>
    <w:p w14:paraId="5DDC47BD" w14:textId="77777777" w:rsidR="00DE05D6" w:rsidRPr="00DE05D6" w:rsidRDefault="00DE05D6" w:rsidP="00DE05D6">
      <w:pPr>
        <w:jc w:val="center"/>
        <w:rPr>
          <w:rFonts w:asciiTheme="majorHAnsi" w:hAnsiTheme="majorHAnsi"/>
        </w:rPr>
      </w:pPr>
      <w:r w:rsidRPr="00DE05D6">
        <w:rPr>
          <w:rFonts w:asciiTheme="majorHAnsi" w:hAnsiTheme="majorHAnsi"/>
          <w:b/>
          <w:bCs/>
        </w:rPr>
        <w:t>OPIS PRZEDMIOTU ZAMÓWIENIA</w:t>
      </w:r>
      <w:r w:rsidRPr="00DE05D6">
        <w:rPr>
          <w:rFonts w:asciiTheme="majorHAnsi" w:hAnsiTheme="majorHAnsi"/>
        </w:rPr>
        <w:t xml:space="preserve">       </w:t>
      </w:r>
    </w:p>
    <w:p w14:paraId="43C56C24" w14:textId="72281349" w:rsidR="00651844" w:rsidRPr="00BF75E6" w:rsidRDefault="00DE05D6" w:rsidP="00651844">
      <w:pPr>
        <w:spacing w:line="276" w:lineRule="auto"/>
        <w:jc w:val="both"/>
        <w:rPr>
          <w:rFonts w:ascii="Calibri Light" w:eastAsia="Calibri" w:hAnsi="Calibri Light" w:cs="Calibri"/>
          <w:b/>
          <w:bCs/>
          <w:i/>
          <w:color w:val="000000"/>
          <w:lang w:eastAsia="ar-SA"/>
        </w:rPr>
      </w:pPr>
      <w:r w:rsidRPr="00DE05D6">
        <w:rPr>
          <w:rStyle w:val="Domylnaczcionkaakapitu1"/>
          <w:rFonts w:asciiTheme="majorHAnsi" w:hAnsiTheme="majorHAnsi" w:cs="Times New Roman"/>
          <w:b/>
        </w:rPr>
        <w:t>I. Przedmiotem zamówienia jest:</w:t>
      </w:r>
      <w:r w:rsidRPr="00DE05D6">
        <w:rPr>
          <w:rStyle w:val="Domylnaczcionkaakapitu1"/>
          <w:rFonts w:asciiTheme="majorHAnsi" w:hAnsiTheme="majorHAnsi" w:cs="Times New Roman"/>
        </w:rPr>
        <w:t xml:space="preserve"> </w:t>
      </w:r>
      <w:bookmarkStart w:id="0" w:name="_Hlk43816656"/>
      <w:r w:rsidR="00651844" w:rsidRPr="00BF75E6">
        <w:rPr>
          <w:rFonts w:ascii="Calibri Light" w:eastAsia="Calibri" w:hAnsi="Calibri Light" w:cs="Calibri"/>
          <w:b/>
          <w:bCs/>
          <w:i/>
          <w:iCs/>
          <w:color w:val="000000"/>
          <w:lang w:eastAsia="ar-SA"/>
        </w:rPr>
        <w:t xml:space="preserve">Pełnienie kompleksowego nadzoru inwestorskiego dla </w:t>
      </w:r>
      <w:r w:rsidR="00651844" w:rsidRPr="00BF75E6">
        <w:rPr>
          <w:rFonts w:ascii="Calibri Light" w:eastAsia="Calibri" w:hAnsi="Calibri Light" w:cs="Calibri"/>
          <w:b/>
          <w:bCs/>
          <w:i/>
          <w:color w:val="000000"/>
          <w:lang w:eastAsia="ar-SA"/>
        </w:rPr>
        <w:t xml:space="preserve"> zada</w:t>
      </w:r>
      <w:r w:rsidR="00EC5624">
        <w:rPr>
          <w:rFonts w:ascii="Calibri Light" w:eastAsia="Calibri" w:hAnsi="Calibri Light" w:cs="Calibri"/>
          <w:b/>
          <w:bCs/>
          <w:i/>
          <w:color w:val="000000"/>
          <w:lang w:eastAsia="ar-SA"/>
        </w:rPr>
        <w:t>nia</w:t>
      </w:r>
      <w:r w:rsidR="00651844" w:rsidRPr="00BF75E6">
        <w:rPr>
          <w:rFonts w:ascii="Calibri Light" w:eastAsia="Calibri" w:hAnsi="Calibri Light" w:cs="Calibri"/>
          <w:b/>
          <w:bCs/>
          <w:i/>
          <w:color w:val="000000"/>
          <w:lang w:eastAsia="ar-SA"/>
        </w:rPr>
        <w:t xml:space="preserve">  budżetow</w:t>
      </w:r>
      <w:r w:rsidR="00EC5624">
        <w:rPr>
          <w:rFonts w:ascii="Calibri Light" w:eastAsia="Calibri" w:hAnsi="Calibri Light" w:cs="Calibri"/>
          <w:b/>
          <w:bCs/>
          <w:i/>
          <w:color w:val="000000"/>
          <w:lang w:eastAsia="ar-SA"/>
        </w:rPr>
        <w:t xml:space="preserve">ego </w:t>
      </w:r>
      <w:r w:rsidR="00651844" w:rsidRPr="00BF75E6">
        <w:rPr>
          <w:rFonts w:ascii="Calibri Light" w:eastAsia="Calibri" w:hAnsi="Calibri Light" w:cs="Calibri"/>
          <w:b/>
          <w:bCs/>
          <w:i/>
          <w:color w:val="000000"/>
          <w:lang w:eastAsia="ar-SA"/>
        </w:rPr>
        <w:t xml:space="preserve">pn.: </w:t>
      </w:r>
    </w:p>
    <w:p w14:paraId="07D28363" w14:textId="2EA94960" w:rsidR="00651844" w:rsidRDefault="00651844" w:rsidP="00651844">
      <w:pPr>
        <w:jc w:val="both"/>
        <w:rPr>
          <w:rFonts w:ascii="Calibri" w:hAnsi="Calibri" w:cs="Calibri"/>
          <w:b/>
          <w:bCs/>
          <w:u w:val="single"/>
        </w:rPr>
      </w:pPr>
      <w:bookmarkStart w:id="1" w:name="_Hlk515614917"/>
      <w:r w:rsidRPr="00734FCF">
        <w:rPr>
          <w:b/>
          <w:i/>
          <w:iCs/>
        </w:rPr>
        <w:t>„</w:t>
      </w:r>
      <w:r>
        <w:rPr>
          <w:rFonts w:ascii="Calibri" w:hAnsi="Calibri" w:cs="Calibri"/>
          <w:b/>
          <w:bCs/>
          <w:u w:val="single"/>
        </w:rPr>
        <w:t>Przebudowa nawierzchni asfaltow</w:t>
      </w:r>
      <w:r w:rsidR="00EC5624">
        <w:rPr>
          <w:rFonts w:ascii="Calibri" w:hAnsi="Calibri" w:cs="Calibri"/>
          <w:b/>
          <w:bCs/>
          <w:u w:val="single"/>
        </w:rPr>
        <w:t>ej ulicy Polnej w Pławniowicach</w:t>
      </w:r>
      <w:r>
        <w:rPr>
          <w:rFonts w:ascii="Calibri" w:hAnsi="Calibri" w:cs="Calibri"/>
          <w:b/>
          <w:bCs/>
          <w:u w:val="single"/>
        </w:rPr>
        <w:t>”</w:t>
      </w:r>
    </w:p>
    <w:bookmarkEnd w:id="0"/>
    <w:bookmarkEnd w:id="1"/>
    <w:p w14:paraId="621DE7C4" w14:textId="5E085343" w:rsidR="00DE05D6" w:rsidRPr="00DE05D6" w:rsidRDefault="00DE05D6" w:rsidP="00651844">
      <w:pPr>
        <w:jc w:val="both"/>
        <w:rPr>
          <w:rFonts w:asciiTheme="majorHAnsi" w:eastAsia="Lucida Sans Unicode" w:hAnsiTheme="majorHAnsi" w:cs="Times New Roman"/>
          <w:lang w:eastAsia="ar-SA"/>
        </w:rPr>
      </w:pPr>
      <w:r w:rsidRPr="00DE05D6">
        <w:rPr>
          <w:rFonts w:asciiTheme="majorHAnsi" w:hAnsiTheme="majorHAnsi" w:cs="Times New Roman"/>
          <w:b/>
        </w:rPr>
        <w:t>II. Zakres robót zadania inwestycyjnego nad którym</w:t>
      </w:r>
      <w:r>
        <w:rPr>
          <w:rFonts w:asciiTheme="majorHAnsi" w:hAnsiTheme="majorHAnsi" w:cs="Times New Roman"/>
          <w:b/>
        </w:rPr>
        <w:t>i</w:t>
      </w:r>
      <w:r w:rsidRPr="00DE05D6">
        <w:rPr>
          <w:rFonts w:asciiTheme="majorHAnsi" w:hAnsiTheme="majorHAnsi" w:cs="Times New Roman"/>
          <w:b/>
        </w:rPr>
        <w:t xml:space="preserve"> sprawowany będzie nadzór inwestorski obejmuje:</w:t>
      </w:r>
    </w:p>
    <w:p w14:paraId="4AEDE57F" w14:textId="62E45DE0" w:rsidR="00651844" w:rsidRDefault="00DE05D6" w:rsidP="00651844">
      <w:pPr>
        <w:pStyle w:val="Normalny1"/>
        <w:ind w:left="1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Zakres prac obejmuje:</w:t>
      </w:r>
      <w:r>
        <w:rPr>
          <w:rFonts w:asciiTheme="majorHAnsi" w:eastAsia="Lucida Sans Unicode" w:hAnsiTheme="majorHAnsi" w:cs="Times New Roman"/>
          <w:sz w:val="22"/>
          <w:szCs w:val="22"/>
          <w:lang w:eastAsia="ar-SA" w:bidi="ar-SA"/>
        </w:rPr>
        <w:t xml:space="preserve"> </w:t>
      </w:r>
      <w:r w:rsidR="001C2CA8">
        <w:rPr>
          <w:rFonts w:asciiTheme="majorHAnsi" w:eastAsia="Lucida Sans Unicode" w:hAnsiTheme="majorHAnsi" w:cs="Times New Roman"/>
          <w:sz w:val="22"/>
          <w:szCs w:val="22"/>
          <w:lang w:eastAsia="ar-SA" w:bidi="ar-SA"/>
        </w:rPr>
        <w:t xml:space="preserve">nadzór nad robotami drogowymi i towarzyszącymi </w:t>
      </w:r>
      <w:r>
        <w:rPr>
          <w:rFonts w:asciiTheme="majorHAnsi" w:eastAsia="Lucida Sans Unicode" w:hAnsiTheme="majorHAnsi" w:cs="Times New Roman"/>
          <w:sz w:val="22"/>
          <w:szCs w:val="22"/>
          <w:lang w:eastAsia="ar-SA" w:bidi="ar-SA"/>
        </w:rPr>
        <w:t>określon</w:t>
      </w:r>
      <w:r w:rsidR="001C2CA8">
        <w:rPr>
          <w:rFonts w:asciiTheme="majorHAnsi" w:eastAsia="Lucida Sans Unicode" w:hAnsiTheme="majorHAnsi" w:cs="Times New Roman"/>
          <w:sz w:val="22"/>
          <w:szCs w:val="22"/>
          <w:lang w:eastAsia="ar-SA" w:bidi="ar-SA"/>
        </w:rPr>
        <w:t xml:space="preserve">ymi </w:t>
      </w:r>
      <w:r>
        <w:rPr>
          <w:rFonts w:asciiTheme="majorHAnsi" w:eastAsia="Lucida Sans Unicode" w:hAnsiTheme="majorHAnsi" w:cs="Times New Roman"/>
          <w:sz w:val="22"/>
          <w:szCs w:val="22"/>
          <w:lang w:eastAsia="ar-SA" w:bidi="ar-SA"/>
        </w:rPr>
        <w:t xml:space="preserve">w </w:t>
      </w:r>
      <w:r w:rsidR="00DC3032">
        <w:rPr>
          <w:rFonts w:asciiTheme="majorHAnsi" w:eastAsia="Lucida Sans Unicode" w:hAnsiTheme="majorHAnsi" w:cs="Times New Roman"/>
          <w:sz w:val="22"/>
          <w:szCs w:val="22"/>
          <w:lang w:eastAsia="ar-SA" w:bidi="ar-SA"/>
        </w:rPr>
        <w:t xml:space="preserve">uproszczonych </w:t>
      </w:r>
      <w:r w:rsidR="00651844">
        <w:rPr>
          <w:rFonts w:asciiTheme="majorHAnsi" w:eastAsia="Lucida Sans Unicode" w:hAnsiTheme="majorHAnsi" w:cs="Times New Roman"/>
          <w:sz w:val="22"/>
          <w:szCs w:val="22"/>
          <w:lang w:eastAsia="ar-SA" w:bidi="ar-SA"/>
        </w:rPr>
        <w:t>opisach technicznych</w:t>
      </w:r>
      <w:r w:rsidR="00DC3032">
        <w:rPr>
          <w:rFonts w:asciiTheme="majorHAnsi" w:eastAsia="Lucida Sans Unicode" w:hAnsiTheme="majorHAnsi" w:cs="Times New Roman"/>
          <w:sz w:val="22"/>
          <w:szCs w:val="22"/>
          <w:lang w:eastAsia="ar-SA" w:bidi="ar-SA"/>
        </w:rPr>
        <w:t xml:space="preserve"> zamieszczonych </w:t>
      </w:r>
      <w:r w:rsidR="001C2CA8">
        <w:rPr>
          <w:rFonts w:asciiTheme="majorHAnsi" w:eastAsia="Lucida Sans Unicode" w:hAnsiTheme="majorHAnsi" w:cs="Times New Roman"/>
          <w:sz w:val="22"/>
          <w:szCs w:val="22"/>
          <w:lang w:eastAsia="ar-SA" w:bidi="ar-SA"/>
        </w:rPr>
        <w:t>poniżej</w:t>
      </w:r>
      <w:r w:rsidR="00651844">
        <w:rPr>
          <w:rFonts w:asciiTheme="majorHAnsi" w:eastAsia="Lucida Sans Unicode" w:hAnsiTheme="majorHAnsi" w:cs="Times New Roman"/>
          <w:sz w:val="22"/>
          <w:szCs w:val="22"/>
          <w:lang w:eastAsia="ar-SA" w:bidi="ar-SA"/>
        </w:rPr>
        <w:t>:</w:t>
      </w:r>
    </w:p>
    <w:p w14:paraId="7AB07BDE" w14:textId="77777777" w:rsidR="00F24317" w:rsidRDefault="00F24317" w:rsidP="00651844">
      <w:pPr>
        <w:pStyle w:val="Normalny1"/>
        <w:ind w:left="15"/>
        <w:jc w:val="both"/>
        <w:textAlignment w:val="auto"/>
        <w:rPr>
          <w:rFonts w:asciiTheme="majorHAnsi" w:eastAsia="Lucida Sans Unicode" w:hAnsiTheme="majorHAnsi" w:cs="Times New Roman"/>
          <w:sz w:val="22"/>
          <w:szCs w:val="22"/>
          <w:lang w:eastAsia="ar-SA" w:bidi="ar-SA"/>
        </w:rPr>
      </w:pPr>
    </w:p>
    <w:p w14:paraId="1B64E6C7" w14:textId="53C2A1B3" w:rsidR="00EC5624" w:rsidRPr="00EC5624" w:rsidRDefault="00EC5624" w:rsidP="00EC5624">
      <w:pPr>
        <w:rPr>
          <w:rFonts w:asciiTheme="majorHAnsi" w:hAnsiTheme="majorHAnsi" w:cstheme="majorHAnsi"/>
          <w:bCs/>
        </w:rPr>
      </w:pPr>
      <w:r w:rsidRPr="00EC5624">
        <w:rPr>
          <w:rFonts w:asciiTheme="majorHAnsi" w:hAnsiTheme="majorHAnsi" w:cstheme="majorHAnsi"/>
          <w:bCs/>
        </w:rPr>
        <w:t xml:space="preserve">Przedmiotem zamówienia </w:t>
      </w:r>
      <w:r>
        <w:rPr>
          <w:rFonts w:asciiTheme="majorHAnsi" w:hAnsiTheme="majorHAnsi" w:cstheme="majorHAnsi"/>
          <w:bCs/>
        </w:rPr>
        <w:t xml:space="preserve">jest nadzór nad robotami budowlanymi polegającymi na </w:t>
      </w:r>
      <w:r w:rsidRPr="00EC5624">
        <w:rPr>
          <w:rFonts w:asciiTheme="majorHAnsi" w:hAnsiTheme="majorHAnsi" w:cstheme="majorHAnsi"/>
          <w:bCs/>
        </w:rPr>
        <w:t>przebudowie nawierzchni drogi w zakres robót wchodzi m.in.:</w:t>
      </w:r>
    </w:p>
    <w:p w14:paraId="08F6266E"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a) wykonanie robót pomiarowych w ilości 1,630 km;</w:t>
      </w:r>
    </w:p>
    <w:p w14:paraId="662CFE09"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b) wykonanie wcinek istniejącej nawierzchnię w ilości 72,5 mb, wykonanie korytowania o szerokości 0,65 mb, głębokości 30 cm i długości 1630 mb na obu stronach jezdni, wykonanie podbudowy z tłucznia kamiennego o grubości 30 cm i szerokości 0,6 m na obu stronach jezdni i długości 1630 mb;</w:t>
      </w:r>
    </w:p>
    <w:p w14:paraId="671A8253"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c) wykonanie warstwy wiążącej z  mieszanki mineralno-bitumicznej o grubości 8 cm na poszerzeniach i szerokości 0,60 m w ilości 1956,00 m2;</w:t>
      </w:r>
    </w:p>
    <w:p w14:paraId="7F0688EF"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d) oczyszczenie i skropienie istniejącej nawierzchni asfaltem w ilości 7172,00 m2;</w:t>
      </w:r>
    </w:p>
    <w:p w14:paraId="38C03069"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e) wykonanie warstwy ścieralnej z mieszanki mineralno-bitumicznej o grubości 5 cm  na całej szerokości jezdni w ilości 7172,00 m2 ;</w:t>
      </w:r>
    </w:p>
    <w:p w14:paraId="400E0216"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f)regulacja wysokości istniejących zjazdów z kostki betonowej w ilości 108 m2 i 27 mb krawężników drogowych;</w:t>
      </w:r>
    </w:p>
    <w:p w14:paraId="7472ECF1"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g) wykonanie zjazdów z mieszanki mineralno-bitumicznej w ilości 208 m2 (korytowanie 20 cm, podbudowa z tłucznia kamiennego 20 cm grubości, warstwa wiążąca z mieszanki mineralno-bitumicznej 5 cm, warstwa ścieralna z mieszanki mineralno-bitumicznej 4 cm) oraz zabudowa 54 mb krawężnika drogowego;</w:t>
      </w:r>
    </w:p>
    <w:p w14:paraId="77F8C96A"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h) utwardzenie poboczy tłuczniem kamiennym na szerokości 50 cm i grubości 15 cm w ilości 1630 m2;</w:t>
      </w:r>
    </w:p>
    <w:p w14:paraId="1E53EF0E"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i) ścinanie poboczy od strony rowu przydrożnego o szerokości 1,5 m, na długości 856 mb w ilości 1284 m2;</w:t>
      </w:r>
    </w:p>
    <w:p w14:paraId="1506B631"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 xml:space="preserve">j) czyszczenie rowu przydrożnego na długości 85 6mb; </w:t>
      </w:r>
    </w:p>
    <w:p w14:paraId="3D8841EE"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k) regulacja zaworów wodociągowych w ilości 4 sztuk;</w:t>
      </w:r>
    </w:p>
    <w:p w14:paraId="2F560FEB" w14:textId="77777777" w:rsidR="00EC5624" w:rsidRPr="00EC5624" w:rsidRDefault="00EC5624" w:rsidP="00EC5624">
      <w:pPr>
        <w:rPr>
          <w:rFonts w:asciiTheme="majorHAnsi" w:hAnsiTheme="majorHAnsi" w:cstheme="majorHAnsi"/>
          <w:bCs/>
        </w:rPr>
      </w:pPr>
      <w:r w:rsidRPr="00EC5624">
        <w:rPr>
          <w:rFonts w:asciiTheme="majorHAnsi" w:hAnsiTheme="majorHAnsi" w:cstheme="majorHAnsi"/>
          <w:bCs/>
        </w:rPr>
        <w:t>l) zabudowa progu spowalniającego wyniesionego z kostki betonowej wraz z oznakowaniem.</w:t>
      </w:r>
    </w:p>
    <w:p w14:paraId="37EB5D1D" w14:textId="77777777" w:rsidR="00090E10" w:rsidRDefault="00090E10" w:rsidP="00090E10">
      <w:pPr>
        <w:pStyle w:val="Normalny1"/>
        <w:ind w:left="57"/>
        <w:textAlignment w:val="auto"/>
        <w:rPr>
          <w:rFonts w:asciiTheme="majorHAnsi" w:eastAsia="Lucida Sans Unicode" w:hAnsiTheme="majorHAnsi" w:cs="Times New Roman"/>
          <w:sz w:val="22"/>
          <w:szCs w:val="22"/>
          <w:lang w:eastAsia="ar-SA" w:bidi="ar-SA"/>
        </w:rPr>
      </w:pPr>
    </w:p>
    <w:p w14:paraId="5B5FE126" w14:textId="30849DF4" w:rsidR="00DC3032" w:rsidRDefault="00DC3032" w:rsidP="00090E10">
      <w:pPr>
        <w:pStyle w:val="Normalny1"/>
        <w:ind w:left="57"/>
        <w:textAlignment w:val="auto"/>
        <w:rPr>
          <w:rFonts w:asciiTheme="majorHAnsi" w:eastAsia="Lucida Sans Unicode" w:hAnsiTheme="majorHAnsi" w:cs="Times New Roman"/>
          <w:sz w:val="22"/>
          <w:szCs w:val="22"/>
          <w:lang w:eastAsia="ar-SA" w:bidi="ar-SA"/>
        </w:rPr>
      </w:pPr>
      <w:r>
        <w:rPr>
          <w:rFonts w:asciiTheme="majorHAnsi" w:eastAsia="Lucida Sans Unicode" w:hAnsiTheme="majorHAnsi" w:cs="Times New Roman"/>
          <w:sz w:val="22"/>
          <w:szCs w:val="22"/>
          <w:lang w:eastAsia="ar-SA" w:bidi="ar-SA"/>
        </w:rPr>
        <w:t xml:space="preserve">Zgodnie z zapisami zapytania ofertowego dopuszcza się składanie ofert częściowych na poszczególne </w:t>
      </w:r>
      <w:r w:rsidR="00CA7E6E">
        <w:rPr>
          <w:rFonts w:asciiTheme="majorHAnsi" w:eastAsia="Lucida Sans Unicode" w:hAnsiTheme="majorHAnsi" w:cs="Times New Roman"/>
          <w:sz w:val="22"/>
          <w:szCs w:val="22"/>
          <w:lang w:eastAsia="ar-SA" w:bidi="ar-SA"/>
        </w:rPr>
        <w:t xml:space="preserve">     </w:t>
      </w:r>
      <w:r w:rsidR="00651844">
        <w:rPr>
          <w:rFonts w:asciiTheme="majorHAnsi" w:eastAsia="Lucida Sans Unicode" w:hAnsiTheme="majorHAnsi" w:cs="Times New Roman"/>
          <w:sz w:val="22"/>
          <w:szCs w:val="22"/>
          <w:lang w:eastAsia="ar-SA" w:bidi="ar-SA"/>
        </w:rPr>
        <w:t xml:space="preserve">zadania </w:t>
      </w:r>
      <w:r>
        <w:rPr>
          <w:rFonts w:asciiTheme="majorHAnsi" w:eastAsia="Lucida Sans Unicode" w:hAnsiTheme="majorHAnsi" w:cs="Times New Roman"/>
          <w:sz w:val="22"/>
          <w:szCs w:val="22"/>
          <w:lang w:eastAsia="ar-SA" w:bidi="ar-SA"/>
        </w:rPr>
        <w:t>1</w:t>
      </w:r>
      <w:r w:rsidR="00CA7E6E">
        <w:rPr>
          <w:rFonts w:asciiTheme="majorHAnsi" w:eastAsia="Lucida Sans Unicode" w:hAnsiTheme="majorHAnsi" w:cs="Times New Roman"/>
          <w:sz w:val="22"/>
          <w:szCs w:val="22"/>
          <w:lang w:eastAsia="ar-SA" w:bidi="ar-SA"/>
        </w:rPr>
        <w:t xml:space="preserve">  oraz </w:t>
      </w:r>
      <w:r>
        <w:rPr>
          <w:rFonts w:asciiTheme="majorHAnsi" w:eastAsia="Lucida Sans Unicode" w:hAnsiTheme="majorHAnsi" w:cs="Times New Roman"/>
          <w:sz w:val="22"/>
          <w:szCs w:val="22"/>
          <w:lang w:eastAsia="ar-SA" w:bidi="ar-SA"/>
        </w:rPr>
        <w:t>2.</w:t>
      </w:r>
    </w:p>
    <w:p w14:paraId="084D50D1" w14:textId="77777777" w:rsidR="00DC3032" w:rsidRPr="00DE05D6" w:rsidRDefault="00DC3032" w:rsidP="00090E10">
      <w:pPr>
        <w:pStyle w:val="Normalny1"/>
        <w:ind w:left="57"/>
        <w:textAlignment w:val="auto"/>
        <w:rPr>
          <w:rFonts w:asciiTheme="majorHAnsi" w:eastAsia="Lucida Sans Unicode" w:hAnsiTheme="majorHAnsi" w:cs="Times New Roman"/>
          <w:sz w:val="22"/>
          <w:szCs w:val="22"/>
          <w:lang w:eastAsia="ar-SA" w:bidi="ar-SA"/>
        </w:rPr>
      </w:pPr>
    </w:p>
    <w:p w14:paraId="19220585" w14:textId="77777777" w:rsidR="00090E10" w:rsidRPr="00DE05D6" w:rsidRDefault="00090E10" w:rsidP="00090E10">
      <w:pPr>
        <w:pStyle w:val="Normalny1"/>
        <w:ind w:left="57"/>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b/>
          <w:sz w:val="22"/>
          <w:szCs w:val="22"/>
          <w:lang w:eastAsia="ar-SA" w:bidi="ar-SA"/>
        </w:rPr>
        <w:t>Uwagi:</w:t>
      </w:r>
    </w:p>
    <w:p w14:paraId="493A7D82" w14:textId="3E2F54D8"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 xml:space="preserve">Przedstawione w dokumentach wskazania na urządzenia techniczne i materiały z podaniem </w:t>
      </w:r>
      <w:r w:rsidRPr="00DE05D6">
        <w:rPr>
          <w:rFonts w:asciiTheme="majorHAnsi" w:eastAsia="Lucida Sans Unicode" w:hAnsiTheme="majorHAnsi" w:cs="Times New Roman"/>
          <w:sz w:val="22"/>
          <w:szCs w:val="22"/>
          <w:lang w:eastAsia="ar-SA" w:bidi="ar-SA"/>
        </w:rPr>
        <w:lastRenderedPageBreak/>
        <w:t>producenta należy traktować jako przykładowe ze względu na zasady</w:t>
      </w:r>
      <w:r w:rsidR="00C66BB4">
        <w:rPr>
          <w:rFonts w:asciiTheme="majorHAnsi" w:eastAsia="Lucida Sans Unicode" w:hAnsiTheme="majorHAnsi" w:cs="Times New Roman"/>
          <w:sz w:val="22"/>
          <w:szCs w:val="22"/>
          <w:lang w:eastAsia="ar-SA" w:bidi="ar-SA"/>
        </w:rPr>
        <w:t xml:space="preserve"> </w:t>
      </w:r>
      <w:r w:rsidRPr="00DE05D6">
        <w:rPr>
          <w:rFonts w:asciiTheme="majorHAnsi" w:eastAsia="Lucida Sans Unicode" w:hAnsiTheme="majorHAnsi" w:cs="Times New Roman"/>
          <w:sz w:val="22"/>
          <w:szCs w:val="22"/>
          <w:lang w:eastAsia="ar-SA" w:bidi="ar-SA"/>
        </w:rPr>
        <w:t xml:space="preserve"> </w:t>
      </w:r>
      <w:r w:rsidR="00C66BB4" w:rsidRPr="00C66BB4">
        <w:rPr>
          <w:rFonts w:asciiTheme="majorHAnsi" w:hAnsiTheme="majorHAnsi" w:cstheme="majorHAnsi"/>
          <w:sz w:val="22"/>
          <w:szCs w:val="22"/>
        </w:rPr>
        <w:t>ustawy z dnia 11 września 2019 r. Prawo zamówień publicznych (Dz. U. z 2021r. poz. 1129 z późn. zm.)</w:t>
      </w:r>
      <w:r w:rsidRPr="00C66BB4">
        <w:rPr>
          <w:rFonts w:asciiTheme="majorHAnsi" w:eastAsia="Lucida Sans Unicode" w:hAnsiTheme="majorHAnsi" w:cstheme="majorHAnsi"/>
          <w:sz w:val="22"/>
          <w:szCs w:val="22"/>
          <w:lang w:eastAsia="ar-SA" w:bidi="ar-SA"/>
        </w:rPr>
        <w:t>.</w:t>
      </w:r>
    </w:p>
    <w:p w14:paraId="63EDB4EC"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14:paraId="3142B3A0"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a) gabarytów i konstrukcji (wielkość, rodzaj, właściwości fizyczne, liczba elementów składowych),</w:t>
      </w:r>
    </w:p>
    <w:p w14:paraId="66F1DE8F"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b) charakteru użytkowego (tożsamość funkcji),</w:t>
      </w:r>
    </w:p>
    <w:p w14:paraId="67F40131"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c) charakterystyki materiałowej (rodzaj i jakość materiałów),</w:t>
      </w:r>
    </w:p>
    <w:p w14:paraId="16DEAE90" w14:textId="77777777" w:rsidR="00090E10" w:rsidRPr="00DE05D6" w:rsidRDefault="00090E10" w:rsidP="00090E10">
      <w:pPr>
        <w:pStyle w:val="Normalny1"/>
        <w:spacing w:line="276" w:lineRule="auto"/>
        <w:ind w:left="567" w:hanging="212"/>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d) parametrów technicznych (wytrzymałość, trwałość, dane techniczne, dane hydrauliczne, charakterystyki liniowe, konstrukcja),</w:t>
      </w:r>
    </w:p>
    <w:p w14:paraId="77DB8427"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e) parametrów bezpieczeństwa użytkowania,</w:t>
      </w:r>
    </w:p>
    <w:p w14:paraId="3B69D510"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f) standardów emisyjnych,</w:t>
      </w:r>
    </w:p>
    <w:p w14:paraId="661F9B41"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p>
    <w:p w14:paraId="659401A6" w14:textId="3DE02096" w:rsidR="00090E10" w:rsidRPr="00DE05D6" w:rsidRDefault="00090E10" w:rsidP="00090E10">
      <w:pPr>
        <w:jc w:val="both"/>
        <w:rPr>
          <w:rFonts w:asciiTheme="majorHAnsi" w:hAnsiTheme="majorHAnsi" w:cs="Times New Roman"/>
        </w:rPr>
      </w:pPr>
      <w:r w:rsidRPr="00DE05D6">
        <w:rPr>
          <w:rFonts w:asciiTheme="majorHAnsi" w:eastAsia="Lucida Sans Unicode" w:hAnsiTheme="majorHAnsi" w:cs="Times New Roman"/>
          <w:lang w:eastAsia="ar-SA"/>
        </w:rPr>
        <w:t xml:space="preserve">Ilekroć w specyfikacji technicznej wykonania i odbioru robót, </w:t>
      </w:r>
      <w:r w:rsidR="00651844">
        <w:rPr>
          <w:rFonts w:asciiTheme="majorHAnsi" w:eastAsia="Lucida Sans Unicode" w:hAnsiTheme="majorHAnsi" w:cs="Times New Roman"/>
          <w:lang w:eastAsia="ar-SA"/>
        </w:rPr>
        <w:t>opisie technicznym</w:t>
      </w:r>
      <w:r w:rsidRPr="00DE05D6">
        <w:rPr>
          <w:rFonts w:asciiTheme="majorHAnsi" w:eastAsia="Lucida Sans Unicode" w:hAnsiTheme="majorHAnsi" w:cs="Times New Roman"/>
          <w:lang w:eastAsia="ar-SA"/>
        </w:rPr>
        <w:t xml:space="preserve"> mowa jest o polskich normach, należy przez to rozumieć polskie normy przenoszące normy europejskie lub normy innych państw członkowskich Europejskiego Obszaru Gospodarczego lub inne normy lub dokumenty, o których mowa w art. 30 ust. 1 pkt 2 ustawy.</w:t>
      </w:r>
    </w:p>
    <w:p w14:paraId="6CED1578" w14:textId="77777777" w:rsidR="007A4BDE" w:rsidRDefault="007A4BDE" w:rsidP="00DE05D6">
      <w:pPr>
        <w:pStyle w:val="Normalny1"/>
        <w:ind w:left="15"/>
        <w:textAlignment w:val="auto"/>
        <w:rPr>
          <w:rFonts w:asciiTheme="majorHAnsi" w:eastAsia="Lucida Sans Unicode" w:hAnsiTheme="majorHAnsi" w:cs="Times New Roman"/>
          <w:sz w:val="22"/>
          <w:szCs w:val="22"/>
          <w:lang w:eastAsia="ar-SA" w:bidi="ar-SA"/>
        </w:rPr>
      </w:pPr>
    </w:p>
    <w:p w14:paraId="5E5D8258" w14:textId="77777777" w:rsidR="00DE05D6" w:rsidRPr="00DE05D6" w:rsidRDefault="00DE05D6" w:rsidP="00DE05D6">
      <w:pPr>
        <w:tabs>
          <w:tab w:val="left" w:pos="540"/>
        </w:tabs>
        <w:jc w:val="both"/>
        <w:rPr>
          <w:rFonts w:asciiTheme="majorHAnsi" w:hAnsiTheme="majorHAnsi" w:cs="Times New Roman"/>
        </w:rPr>
      </w:pPr>
      <w:r w:rsidRPr="00DE05D6">
        <w:rPr>
          <w:rFonts w:asciiTheme="majorHAnsi" w:hAnsiTheme="majorHAnsi" w:cs="Times New Roman"/>
          <w:b/>
          <w:bCs/>
        </w:rPr>
        <w:t>III. Informacje dotyczące rozliczenia zadania:</w:t>
      </w:r>
    </w:p>
    <w:p w14:paraId="5C39DD13" w14:textId="181E00EF" w:rsidR="00651844" w:rsidRDefault="007A4BDE" w:rsidP="00651844">
      <w:pPr>
        <w:jc w:val="both"/>
        <w:rPr>
          <w:rFonts w:ascii="Calibri" w:hAnsi="Calibri" w:cs="Calibri"/>
          <w:b/>
          <w:bCs/>
          <w:u w:val="single"/>
        </w:rPr>
      </w:pPr>
      <w:r w:rsidRPr="00DC3032">
        <w:rPr>
          <w:rFonts w:asciiTheme="majorHAnsi" w:eastAsia="Lucida Sans Unicode" w:hAnsiTheme="majorHAnsi" w:cs="Arial"/>
          <w:bCs/>
        </w:rPr>
        <w:t xml:space="preserve">W zakresie prowadzenia nadzoru inwestorskiego : </w:t>
      </w:r>
      <w:r w:rsidRPr="00DC3032">
        <w:rPr>
          <w:rFonts w:asciiTheme="majorHAnsi" w:eastAsia="Lucida Sans Unicode" w:hAnsiTheme="majorHAnsi" w:cs="Arial"/>
          <w:color w:val="000000"/>
        </w:rPr>
        <w:t xml:space="preserve">od dnia zawarcia umowy do dnia przekazania do użytkowania inwestycji pn.: </w:t>
      </w:r>
      <w:r w:rsidR="00651844" w:rsidRPr="00734FCF">
        <w:rPr>
          <w:b/>
          <w:i/>
          <w:iCs/>
        </w:rPr>
        <w:t>„</w:t>
      </w:r>
      <w:r w:rsidR="00651844">
        <w:rPr>
          <w:rFonts w:ascii="Calibri" w:hAnsi="Calibri" w:cs="Calibri"/>
          <w:b/>
          <w:bCs/>
          <w:u w:val="single"/>
        </w:rPr>
        <w:t>Przebudowa nawierzchni asfaltow</w:t>
      </w:r>
      <w:r w:rsidR="00EC5624">
        <w:rPr>
          <w:rFonts w:ascii="Calibri" w:hAnsi="Calibri" w:cs="Calibri"/>
          <w:b/>
          <w:bCs/>
          <w:u w:val="single"/>
        </w:rPr>
        <w:t xml:space="preserve">ej ulicy </w:t>
      </w:r>
      <w:r w:rsidR="00FC792D">
        <w:rPr>
          <w:rFonts w:ascii="Calibri" w:hAnsi="Calibri" w:cs="Calibri"/>
          <w:b/>
          <w:bCs/>
          <w:u w:val="single"/>
        </w:rPr>
        <w:t>P</w:t>
      </w:r>
      <w:r w:rsidR="00EC5624">
        <w:rPr>
          <w:rFonts w:ascii="Calibri" w:hAnsi="Calibri" w:cs="Calibri"/>
          <w:b/>
          <w:bCs/>
          <w:u w:val="single"/>
        </w:rPr>
        <w:t xml:space="preserve">olnej w Pławniowicach </w:t>
      </w:r>
      <w:r w:rsidR="00651844">
        <w:rPr>
          <w:rFonts w:ascii="Calibri" w:hAnsi="Calibri" w:cs="Calibri"/>
          <w:b/>
          <w:bCs/>
          <w:u w:val="single"/>
        </w:rPr>
        <w:t>”</w:t>
      </w:r>
    </w:p>
    <w:p w14:paraId="10163A94" w14:textId="53CF46BC" w:rsidR="007A4BDE" w:rsidRPr="00DC3032" w:rsidRDefault="007A4BDE" w:rsidP="00651844">
      <w:pPr>
        <w:jc w:val="both"/>
        <w:rPr>
          <w:rFonts w:ascii="Calibri Light" w:hAnsi="Calibri Light"/>
          <w:b/>
          <w:bCs/>
          <w:i/>
          <w:color w:val="000000"/>
        </w:rPr>
      </w:pPr>
      <w:r w:rsidRPr="00DC3032">
        <w:rPr>
          <w:rFonts w:asciiTheme="majorHAnsi" w:eastAsia="Lucida Sans Unicode" w:hAnsiTheme="majorHAnsi" w:cs="Arial"/>
          <w:color w:val="000000"/>
        </w:rPr>
        <w:t xml:space="preserve">oraz w okresie obowiązywania rękojmi i gwarancji. Okres obowiązywania rękojmi i gwarancji – </w:t>
      </w:r>
      <w:r w:rsidR="00651844">
        <w:rPr>
          <w:rFonts w:asciiTheme="majorHAnsi" w:eastAsia="Lucida Sans Unicode" w:hAnsiTheme="majorHAnsi" w:cs="Arial"/>
        </w:rPr>
        <w:t>5 lat</w:t>
      </w:r>
      <w:r w:rsidRPr="00DC3032">
        <w:rPr>
          <w:rFonts w:asciiTheme="majorHAnsi" w:eastAsia="Lucida Sans Unicode" w:hAnsiTheme="majorHAnsi" w:cs="Arial"/>
        </w:rPr>
        <w:t xml:space="preserve"> od dnia podpisania protokołu odbioru robót budowlanych.</w:t>
      </w:r>
    </w:p>
    <w:p w14:paraId="3FD1F138" w14:textId="77777777" w:rsidR="00DE05D6" w:rsidRPr="00DE05D6" w:rsidRDefault="00DE05D6" w:rsidP="00DE05D6">
      <w:pPr>
        <w:tabs>
          <w:tab w:val="left" w:pos="540"/>
        </w:tabs>
        <w:jc w:val="both"/>
        <w:rPr>
          <w:rFonts w:asciiTheme="majorHAnsi" w:hAnsiTheme="majorHAnsi" w:cs="Times New Roman"/>
        </w:rPr>
      </w:pPr>
    </w:p>
    <w:p w14:paraId="741FC6AF" w14:textId="77777777" w:rsidR="00DE05D6" w:rsidRPr="00DE05D6" w:rsidRDefault="00DC3032" w:rsidP="00D34F04">
      <w:pPr>
        <w:pStyle w:val="Tekstpodstawowy"/>
        <w:tabs>
          <w:tab w:val="left" w:pos="540"/>
          <w:tab w:val="left" w:pos="1843"/>
        </w:tabs>
        <w:rPr>
          <w:rFonts w:asciiTheme="majorHAnsi" w:hAnsiTheme="majorHAnsi" w:cs="Times New Roman"/>
          <w:b/>
          <w:sz w:val="22"/>
          <w:szCs w:val="22"/>
        </w:rPr>
      </w:pPr>
      <w:r>
        <w:rPr>
          <w:rFonts w:asciiTheme="majorHAnsi" w:hAnsiTheme="majorHAnsi" w:cs="Times New Roman"/>
          <w:b/>
          <w:sz w:val="22"/>
          <w:szCs w:val="22"/>
        </w:rPr>
        <w:t>I</w:t>
      </w:r>
      <w:r w:rsidR="00DE05D6" w:rsidRPr="00DE05D6">
        <w:rPr>
          <w:rFonts w:asciiTheme="majorHAnsi" w:hAnsiTheme="majorHAnsi" w:cs="Times New Roman"/>
          <w:b/>
          <w:sz w:val="22"/>
          <w:szCs w:val="22"/>
        </w:rPr>
        <w:t>V.</w:t>
      </w:r>
      <w:r w:rsidR="00DE05D6" w:rsidRPr="00DE05D6">
        <w:rPr>
          <w:rFonts w:asciiTheme="majorHAnsi" w:hAnsiTheme="majorHAnsi" w:cs="Times New Roman"/>
          <w:b/>
          <w:sz w:val="22"/>
          <w:szCs w:val="22"/>
        </w:rPr>
        <w:tab/>
        <w:t>Informacje dotyczące zakresu obowiązków inspektora nadzoru:</w:t>
      </w:r>
    </w:p>
    <w:p w14:paraId="02162382" w14:textId="77777777" w:rsidR="00DE05D6" w:rsidRPr="00DE05D6" w:rsidRDefault="00DE05D6" w:rsidP="00DE05D6">
      <w:pPr>
        <w:pStyle w:val="Tekstpodstawowy"/>
        <w:tabs>
          <w:tab w:val="left" w:pos="540"/>
        </w:tabs>
        <w:rPr>
          <w:rFonts w:asciiTheme="majorHAnsi" w:hAnsiTheme="majorHAnsi" w:cs="Times New Roman"/>
          <w:b/>
          <w:sz w:val="22"/>
          <w:szCs w:val="22"/>
        </w:rPr>
      </w:pPr>
    </w:p>
    <w:p w14:paraId="265CF67D" w14:textId="4CA3FC72" w:rsidR="00DE05D6" w:rsidRPr="000D4011" w:rsidRDefault="00DE05D6" w:rsidP="000D4011">
      <w:pPr>
        <w:widowControl w:val="0"/>
        <w:numPr>
          <w:ilvl w:val="1"/>
          <w:numId w:val="1"/>
        </w:numPr>
        <w:tabs>
          <w:tab w:val="clear" w:pos="0"/>
          <w:tab w:val="left" w:pos="426"/>
          <w:tab w:val="num" w:pos="567"/>
        </w:tabs>
        <w:suppressAutoHyphens/>
        <w:spacing w:after="0" w:line="100" w:lineRule="atLeast"/>
        <w:ind w:left="284" w:hanging="284"/>
        <w:jc w:val="both"/>
        <w:textAlignment w:val="baseline"/>
        <w:rPr>
          <w:rFonts w:asciiTheme="majorHAnsi" w:hAnsiTheme="majorHAnsi" w:cs="Times New Roman"/>
        </w:rPr>
      </w:pPr>
      <w:r w:rsidRPr="00DE05D6">
        <w:rPr>
          <w:rFonts w:asciiTheme="majorHAnsi" w:eastAsia="Arial-BoldMT" w:hAnsiTheme="majorHAnsi" w:cs="Times New Roman"/>
          <w:color w:val="000000"/>
        </w:rPr>
        <w:t>Zakres podstawowych obowiązków i praw Inspektora Nadzoru Inwestorskiego określają art. 25 i 26 ustawy z dnia 7 lipca 1994 r. Prawo budowlane (tekst jednolity Dz. U. z 201</w:t>
      </w:r>
      <w:r w:rsidR="00BE597D">
        <w:rPr>
          <w:rFonts w:asciiTheme="majorHAnsi" w:eastAsia="Arial-BoldMT" w:hAnsiTheme="majorHAnsi" w:cs="Times New Roman"/>
          <w:color w:val="000000"/>
        </w:rPr>
        <w:t>9</w:t>
      </w:r>
      <w:r w:rsidRPr="00DE05D6">
        <w:rPr>
          <w:rFonts w:asciiTheme="majorHAnsi" w:eastAsia="Arial-BoldMT" w:hAnsiTheme="majorHAnsi" w:cs="Times New Roman"/>
          <w:color w:val="000000"/>
        </w:rPr>
        <w:t xml:space="preserve">r.  poz. </w:t>
      </w:r>
      <w:r w:rsidR="00BE597D">
        <w:rPr>
          <w:rFonts w:asciiTheme="majorHAnsi" w:eastAsia="Arial-BoldMT" w:hAnsiTheme="majorHAnsi" w:cs="Times New Roman"/>
          <w:color w:val="000000"/>
        </w:rPr>
        <w:t>1186 z późn. zm.</w:t>
      </w:r>
      <w:r w:rsidRPr="00DE05D6">
        <w:rPr>
          <w:rFonts w:asciiTheme="majorHAnsi" w:eastAsia="Arial-BoldMT" w:hAnsiTheme="majorHAnsi" w:cs="Times New Roman"/>
          <w:color w:val="000000"/>
        </w:rPr>
        <w:t>).</w:t>
      </w:r>
    </w:p>
    <w:p w14:paraId="5768DF18" w14:textId="77777777" w:rsidR="00DE05D6" w:rsidRPr="000D4011" w:rsidRDefault="000D4011" w:rsidP="000D4011">
      <w:pPr>
        <w:widowControl w:val="0"/>
        <w:numPr>
          <w:ilvl w:val="1"/>
          <w:numId w:val="1"/>
        </w:numPr>
        <w:tabs>
          <w:tab w:val="clear" w:pos="0"/>
          <w:tab w:val="left" w:pos="284"/>
          <w:tab w:val="num" w:pos="567"/>
        </w:tabs>
        <w:suppressAutoHyphens/>
        <w:spacing w:after="0" w:line="100" w:lineRule="atLeast"/>
        <w:ind w:hanging="1080"/>
        <w:jc w:val="both"/>
        <w:textAlignment w:val="baseline"/>
        <w:rPr>
          <w:rFonts w:asciiTheme="majorHAnsi" w:hAnsiTheme="majorHAnsi" w:cs="Times New Roman"/>
        </w:rPr>
      </w:pPr>
      <w:r w:rsidRPr="000D4011">
        <w:rPr>
          <w:rFonts w:asciiTheme="majorHAnsi" w:hAnsiTheme="majorHAnsi" w:cs="Times New Roman"/>
        </w:rPr>
        <w:t xml:space="preserve">Kompleksowy </w:t>
      </w:r>
      <w:r>
        <w:rPr>
          <w:rFonts w:asciiTheme="majorHAnsi" w:hAnsiTheme="majorHAnsi" w:cs="Times New Roman"/>
        </w:rPr>
        <w:t>n</w:t>
      </w:r>
      <w:r w:rsidR="00DE05D6" w:rsidRPr="000D4011">
        <w:rPr>
          <w:rFonts w:asciiTheme="majorHAnsi" w:hAnsiTheme="majorHAnsi" w:cs="Times New Roman"/>
        </w:rPr>
        <w:t>adzór inwestorski poza ust. 1, obejmuje także:</w:t>
      </w:r>
    </w:p>
    <w:p w14:paraId="6D4389B6" w14:textId="790B488C" w:rsidR="00DE05D6" w:rsidRPr="00DE05D6" w:rsidRDefault="00DE05D6" w:rsidP="000D4011">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zapoznanie się z </w:t>
      </w:r>
      <w:r w:rsidR="008205AE">
        <w:rPr>
          <w:rFonts w:asciiTheme="majorHAnsi" w:hAnsiTheme="majorHAnsi" w:cs="Times New Roman"/>
        </w:rPr>
        <w:t>opisem technicznym</w:t>
      </w:r>
      <w:r w:rsidRPr="00DE05D6">
        <w:rPr>
          <w:rFonts w:asciiTheme="majorHAnsi" w:hAnsiTheme="majorHAnsi" w:cs="Times New Roman"/>
        </w:rPr>
        <w:t>,</w:t>
      </w:r>
    </w:p>
    <w:p w14:paraId="5306FDD5" w14:textId="6785B322" w:rsidR="00DE05D6" w:rsidRPr="00DE05D6" w:rsidRDefault="00DE05D6" w:rsidP="000D4011">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uczestnictwo w rozpoczęciu </w:t>
      </w:r>
      <w:r w:rsidR="008205AE">
        <w:rPr>
          <w:rFonts w:asciiTheme="majorHAnsi" w:hAnsiTheme="majorHAnsi" w:cs="Times New Roman"/>
        </w:rPr>
        <w:t>robót budowlanych,</w:t>
      </w:r>
    </w:p>
    <w:p w14:paraId="4E44B1D0" w14:textId="77777777"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nadzór nad realizacją inwestycji, w zakresie niezbędnym do zabezpieczenia interesów Zamawiającego i przyszłych użytkowników,</w:t>
      </w:r>
    </w:p>
    <w:p w14:paraId="3C6665CF" w14:textId="2BEC066E"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w porozumieniu z kierownikiem </w:t>
      </w:r>
      <w:r w:rsidR="008205AE">
        <w:rPr>
          <w:rFonts w:asciiTheme="majorHAnsi" w:hAnsiTheme="majorHAnsi" w:cs="Times New Roman"/>
        </w:rPr>
        <w:t xml:space="preserve">robót </w:t>
      </w:r>
      <w:r w:rsidRPr="00DE05D6">
        <w:rPr>
          <w:rFonts w:asciiTheme="majorHAnsi" w:hAnsiTheme="majorHAnsi" w:cs="Times New Roman"/>
        </w:rPr>
        <w:t xml:space="preserve">rozstrzyganie wątpliwości natury technicznej powstałe w toku wykonywania robót, </w:t>
      </w:r>
    </w:p>
    <w:p w14:paraId="3F5C8998" w14:textId="002F107A"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sprawdzenie i odebranie  robót ulegających zakryciu lub zanikowych, w terminach określonych w umowie z wykonawcą robót budowlanych,</w:t>
      </w:r>
    </w:p>
    <w:p w14:paraId="5C176C6D" w14:textId="09446AE1"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wykonanie na bieżąco dokumentacji fotograficznej etapów </w:t>
      </w:r>
      <w:r w:rsidR="00DB283F">
        <w:rPr>
          <w:rFonts w:asciiTheme="majorHAnsi" w:hAnsiTheme="majorHAnsi" w:cs="Times New Roman"/>
        </w:rPr>
        <w:t>prze</w:t>
      </w:r>
      <w:r w:rsidRPr="00DE05D6">
        <w:rPr>
          <w:rFonts w:asciiTheme="majorHAnsi" w:hAnsiTheme="majorHAnsi" w:cs="Times New Roman"/>
        </w:rPr>
        <w:t xml:space="preserve">budowy </w:t>
      </w:r>
      <w:r w:rsidR="00DB283F">
        <w:rPr>
          <w:rFonts w:asciiTheme="majorHAnsi" w:hAnsiTheme="majorHAnsi" w:cs="Times New Roman"/>
        </w:rPr>
        <w:t>dróg</w:t>
      </w:r>
      <w:r w:rsidRPr="00DE05D6">
        <w:rPr>
          <w:rFonts w:asciiTheme="majorHAnsi" w:hAnsiTheme="majorHAnsi" w:cs="Times New Roman"/>
        </w:rPr>
        <w:t xml:space="preserve"> w szczególności </w:t>
      </w:r>
      <w:r w:rsidRPr="00DE05D6">
        <w:rPr>
          <w:rFonts w:asciiTheme="majorHAnsi" w:hAnsiTheme="majorHAnsi" w:cs="Times New Roman"/>
        </w:rPr>
        <w:lastRenderedPageBreak/>
        <w:t>robót ulegających zakryciu lub zanikowych i przekazanie dokumentacji fotograficznej Zamawiającemu</w:t>
      </w:r>
      <w:r w:rsidR="00DB283F">
        <w:rPr>
          <w:rFonts w:asciiTheme="majorHAnsi" w:hAnsiTheme="majorHAnsi" w:cs="Times New Roman"/>
        </w:rPr>
        <w:t>,</w:t>
      </w:r>
    </w:p>
    <w:p w14:paraId="09A77422"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żądanie dokonania przez wykonawcę robót, na jego koszt odkrywek elementów robót budzących wątpliwości w celu sprawdzenia jakości ich wykonania, jeżeli wykonanie tych robót nie zostało zgłoszone do sprawdzenia przed ich zakryciem,</w:t>
      </w:r>
    </w:p>
    <w:p w14:paraId="781EEA5B"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uczestniczenia w przeprowadzanych przez wykonawcę próbach i odbiorach,</w:t>
      </w:r>
    </w:p>
    <w:p w14:paraId="55119321"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stwierdzenia aktualnego stanu robót w razie przerwy w robotach oraz innych wypadkach, gdy zachodzi potrzeba ustalenia ilości, jakości i wartości robót w zakresie niezbędnym do rozliczeń z Zamawiającym,</w:t>
      </w:r>
    </w:p>
    <w:p w14:paraId="1E462C63" w14:textId="20C4E62C"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bieżącej kontroli zgodności wykonywanych robót budowlanych,</w:t>
      </w:r>
    </w:p>
    <w:p w14:paraId="05218BD0"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zatwierdzania wszelkich materiałów i urządzeń przewidzianych do zastosowania przez wykonawcę robót budowlanych, w tym  materiałów   i urządzeń równoważnych,</w:t>
      </w:r>
    </w:p>
    <w:p w14:paraId="72FD66BA" w14:textId="6839B480"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hAnsiTheme="majorHAnsi" w:cs="Times New Roman"/>
        </w:rPr>
        <w:t>organizowania i przewodniczenia naradom dotyczącym postępu robót z udziałem wszystkich stron zaangażowanych w realizację zadania inwestycyjnego,</w:t>
      </w:r>
    </w:p>
    <w:p w14:paraId="7E5AE84D" w14:textId="602AB016"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na żądanie Rady Gminy Rudziniec bądź Wójta Gminy zaprezentowanie postępu robót wraz</w:t>
      </w:r>
      <w:r w:rsidR="008205AE">
        <w:rPr>
          <w:rFonts w:asciiTheme="majorHAnsi" w:eastAsia="Times New Roman" w:hAnsiTheme="majorHAnsi" w:cs="Times New Roman"/>
          <w:lang w:eastAsia="ar-SA"/>
        </w:rPr>
        <w:t xml:space="preserve">                            </w:t>
      </w:r>
      <w:r w:rsidRPr="00DE05D6">
        <w:rPr>
          <w:rFonts w:asciiTheme="majorHAnsi" w:eastAsia="Times New Roman" w:hAnsiTheme="majorHAnsi" w:cs="Times New Roman"/>
          <w:lang w:eastAsia="ar-SA"/>
        </w:rPr>
        <w:t xml:space="preserve"> z odpowiedziami na pytania na komisjach bądź sesjach Rady Gminy Rudziniec,</w:t>
      </w:r>
    </w:p>
    <w:p w14:paraId="008EC032"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weryfikacja kosztorysów inwestorskich, ofertowych i powykonawczych, w tym także dla robót dodatkowych wynikłych podczas realizacji zadań,</w:t>
      </w:r>
    </w:p>
    <w:p w14:paraId="7F6FF921"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eastAsia="Times New Roman" w:hAnsiTheme="majorHAnsi" w:cs="Times New Roman"/>
          <w:lang w:eastAsia="ar-SA"/>
        </w:rPr>
        <w:t>kontrolowanie rozliczeń budowy,</w:t>
      </w:r>
    </w:p>
    <w:p w14:paraId="05B56553"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uczestnictwo w zakończeniu inwestycji - odbiorze robót,</w:t>
      </w:r>
    </w:p>
    <w:p w14:paraId="1AFCC33F"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sprawdzenie i zatwierdzenie dokumentacji powykonawczej przed przekazaniem jej do Zamawiającego,</w:t>
      </w:r>
    </w:p>
    <w:p w14:paraId="6DDB1429"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udział w rozpatrywaniu wszelkiego rodzaju skarg i roszczeń osób trzecich wywołanych realizacją zadania inwestycyjnego</w:t>
      </w:r>
    </w:p>
    <w:p w14:paraId="08A165A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hAnsiTheme="majorHAnsi" w:cs="Times New Roman"/>
        </w:rPr>
        <w:t xml:space="preserve">składanie wyjaśnień i udzielanie odpowiedzi przy składaniu przez Zamawiającego wniosków </w:t>
      </w:r>
      <w:r w:rsidR="00DB283F">
        <w:rPr>
          <w:rFonts w:asciiTheme="majorHAnsi" w:hAnsiTheme="majorHAnsi" w:cs="Times New Roman"/>
        </w:rPr>
        <w:t xml:space="preserve">                     </w:t>
      </w:r>
      <w:r w:rsidRPr="00DE05D6">
        <w:rPr>
          <w:rFonts w:asciiTheme="majorHAnsi" w:hAnsiTheme="majorHAnsi" w:cs="Times New Roman"/>
        </w:rPr>
        <w:t>o płatność oraz kontroli projektu</w:t>
      </w:r>
      <w:r w:rsidR="00DB283F">
        <w:rPr>
          <w:rFonts w:asciiTheme="majorHAnsi" w:hAnsiTheme="majorHAnsi" w:cs="Times New Roman"/>
        </w:rPr>
        <w:t>,</w:t>
      </w:r>
    </w:p>
    <w:p w14:paraId="32C57BC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uczestnictwo w komisjach w okresie obowiązywania gwarancji i rękojmi, w tym w komisjach powoływanych do stwierdzenia ujawnionych wad, ustalania w porozumieniu z Wykonawcą robót budowlanych i użytkownikiem kanalizacji sanitarnej technologii i terminu ich usunięcia  oraz nadzór realizacji robót związanych z usuwaniem wad,</w:t>
      </w:r>
    </w:p>
    <w:p w14:paraId="5D2A5F6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rPr>
      </w:pPr>
      <w:r w:rsidRPr="00DE05D6">
        <w:rPr>
          <w:rFonts w:asciiTheme="majorHAnsi" w:eastAsia="Times New Roman" w:hAnsiTheme="majorHAnsi" w:cs="Times New Roman"/>
          <w:lang w:eastAsia="ar-SA"/>
        </w:rPr>
        <w:t>wykonanie innych obowiązków spoczywających na inspektorze nadzoru inwestorskiego określonych w umowie z wykonawcą robót budowlanych.</w:t>
      </w:r>
    </w:p>
    <w:p w14:paraId="30376ED3" w14:textId="77777777" w:rsidR="00DE05D6" w:rsidRPr="00DE05D6" w:rsidRDefault="00DE05D6" w:rsidP="00DE05D6">
      <w:pPr>
        <w:pStyle w:val="Tekstpodstawowy"/>
        <w:jc w:val="right"/>
        <w:rPr>
          <w:rFonts w:asciiTheme="majorHAnsi" w:hAnsiTheme="majorHAnsi" w:cs="Times New Roman"/>
          <w:sz w:val="22"/>
          <w:szCs w:val="22"/>
        </w:rPr>
      </w:pPr>
    </w:p>
    <w:sectPr w:rsidR="00DE05D6" w:rsidRPr="00DE0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1BC3" w14:textId="77777777" w:rsidR="00E50E3E" w:rsidRDefault="00E50E3E">
      <w:pPr>
        <w:spacing w:after="0" w:line="240" w:lineRule="auto"/>
      </w:pPr>
      <w:r>
        <w:separator/>
      </w:r>
    </w:p>
  </w:endnote>
  <w:endnote w:type="continuationSeparator" w:id="0">
    <w:p w14:paraId="67C6CC7D" w14:textId="77777777" w:rsidR="00E50E3E" w:rsidRDefault="00E5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MT">
    <w:charset w:val="EE"/>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163A" w14:textId="77777777" w:rsidR="00E50E3E" w:rsidRDefault="00E50E3E">
      <w:pPr>
        <w:spacing w:after="0" w:line="240" w:lineRule="auto"/>
      </w:pPr>
      <w:r>
        <w:separator/>
      </w:r>
    </w:p>
  </w:footnote>
  <w:footnote w:type="continuationSeparator" w:id="0">
    <w:p w14:paraId="67DC2E8C" w14:textId="77777777" w:rsidR="00E50E3E" w:rsidRDefault="00E50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900" w:hanging="360"/>
      </w:pPr>
      <w:rPr>
        <w:rFonts w:ascii="StarSymbol" w:hAnsi="StarSymbol" w:cs="StarSymbol"/>
        <w:b/>
        <w:lang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color w:val="000000"/>
      </w:rPr>
    </w:lvl>
    <w:lvl w:ilvl="1">
      <w:start w:val="1"/>
      <w:numFmt w:val="bullet"/>
      <w:lvlText w:val=""/>
      <w:lvlJc w:val="left"/>
      <w:pPr>
        <w:tabs>
          <w:tab w:val="num" w:pos="0"/>
        </w:tabs>
        <w:ind w:left="1080" w:hanging="360"/>
      </w:pPr>
      <w:rPr>
        <w:rFonts w:ascii="Symbol" w:hAnsi="Symbol" w:cs="OpenSymbol"/>
        <w:color w:val="000000"/>
      </w:rPr>
    </w:lvl>
    <w:lvl w:ilvl="2">
      <w:start w:val="1"/>
      <w:numFmt w:val="bullet"/>
      <w:lvlText w:val=""/>
      <w:lvlJc w:val="left"/>
      <w:pPr>
        <w:tabs>
          <w:tab w:val="num" w:pos="0"/>
        </w:tabs>
        <w:ind w:left="1440" w:hanging="360"/>
      </w:pPr>
      <w:rPr>
        <w:rFonts w:ascii="Symbol" w:hAnsi="Symbol" w:cs="OpenSymbol"/>
        <w:color w:val="000000"/>
      </w:rPr>
    </w:lvl>
    <w:lvl w:ilvl="3">
      <w:start w:val="1"/>
      <w:numFmt w:val="bullet"/>
      <w:lvlText w:val=""/>
      <w:lvlJc w:val="left"/>
      <w:pPr>
        <w:tabs>
          <w:tab w:val="num" w:pos="0"/>
        </w:tabs>
        <w:ind w:left="1800" w:hanging="360"/>
      </w:pPr>
      <w:rPr>
        <w:rFonts w:ascii="Symbol" w:hAnsi="Symbol" w:cs="OpenSymbol"/>
        <w:color w:val="000000"/>
      </w:rPr>
    </w:lvl>
    <w:lvl w:ilvl="4">
      <w:start w:val="1"/>
      <w:numFmt w:val="bullet"/>
      <w:lvlText w:val=""/>
      <w:lvlJc w:val="left"/>
      <w:pPr>
        <w:tabs>
          <w:tab w:val="num" w:pos="0"/>
        </w:tabs>
        <w:ind w:left="2160" w:hanging="360"/>
      </w:pPr>
      <w:rPr>
        <w:rFonts w:ascii="Symbol" w:hAnsi="Symbol" w:cs="OpenSymbol"/>
        <w:color w:val="000000"/>
      </w:rPr>
    </w:lvl>
    <w:lvl w:ilvl="5">
      <w:start w:val="1"/>
      <w:numFmt w:val="bullet"/>
      <w:lvlText w:val=""/>
      <w:lvlJc w:val="left"/>
      <w:pPr>
        <w:tabs>
          <w:tab w:val="num" w:pos="0"/>
        </w:tabs>
        <w:ind w:left="2520" w:hanging="360"/>
      </w:pPr>
      <w:rPr>
        <w:rFonts w:ascii="Symbol" w:hAnsi="Symbol" w:cs="OpenSymbol"/>
        <w:color w:val="000000"/>
      </w:rPr>
    </w:lvl>
    <w:lvl w:ilvl="6">
      <w:start w:val="1"/>
      <w:numFmt w:val="bullet"/>
      <w:lvlText w:val=""/>
      <w:lvlJc w:val="left"/>
      <w:pPr>
        <w:tabs>
          <w:tab w:val="num" w:pos="0"/>
        </w:tabs>
        <w:ind w:left="2880" w:hanging="360"/>
      </w:pPr>
      <w:rPr>
        <w:rFonts w:ascii="Symbol" w:hAnsi="Symbol" w:cs="OpenSymbol"/>
        <w:color w:val="000000"/>
      </w:rPr>
    </w:lvl>
    <w:lvl w:ilvl="7">
      <w:start w:val="1"/>
      <w:numFmt w:val="bullet"/>
      <w:lvlText w:val=""/>
      <w:lvlJc w:val="left"/>
      <w:pPr>
        <w:tabs>
          <w:tab w:val="num" w:pos="0"/>
        </w:tabs>
        <w:ind w:left="3240" w:hanging="360"/>
      </w:pPr>
      <w:rPr>
        <w:rFonts w:ascii="Symbol" w:hAnsi="Symbol" w:cs="OpenSymbol"/>
        <w:color w:val="000000"/>
      </w:rPr>
    </w:lvl>
    <w:lvl w:ilvl="8">
      <w:start w:val="1"/>
      <w:numFmt w:val="bullet"/>
      <w:lvlText w:val=""/>
      <w:lvlJc w:val="left"/>
      <w:pPr>
        <w:tabs>
          <w:tab w:val="num" w:pos="0"/>
        </w:tabs>
        <w:ind w:left="3600" w:hanging="360"/>
      </w:pPr>
      <w:rPr>
        <w:rFonts w:ascii="Symbol" w:hAnsi="Symbol" w:cs="OpenSymbol"/>
        <w:color w:val="000000"/>
      </w:rPr>
    </w:lvl>
  </w:abstractNum>
  <w:abstractNum w:abstractNumId="4" w15:restartNumberingAfterBreak="0">
    <w:nsid w:val="0000000C"/>
    <w:multiLevelType w:val="singleLevel"/>
    <w:tmpl w:val="BF36FA84"/>
    <w:name w:val="WW8Num12"/>
    <w:lvl w:ilvl="0">
      <w:start w:val="1"/>
      <w:numFmt w:val="decimal"/>
      <w:suff w:val="nothing"/>
      <w:lvlText w:val="%1."/>
      <w:lvlJc w:val="left"/>
      <w:pPr>
        <w:ind w:left="0" w:firstLine="0"/>
      </w:pPr>
      <w:rPr>
        <w:rFonts w:ascii="Arial" w:hAnsi="Arial" w:cs="Arial" w:hint="default"/>
        <w:b w:val="0"/>
        <w:i w:val="0"/>
        <w:strike w:val="0"/>
        <w:dstrike w:val="0"/>
        <w:color w:val="auto"/>
        <w:sz w:val="20"/>
        <w:szCs w:val="20"/>
      </w:rPr>
    </w:lvl>
  </w:abstractNum>
  <w:abstractNum w:abstractNumId="5" w15:restartNumberingAfterBreak="0">
    <w:nsid w:val="0AA63FA8"/>
    <w:multiLevelType w:val="multilevel"/>
    <w:tmpl w:val="A5400A98"/>
    <w:styleLink w:val="WW8Num2"/>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024946"/>
    <w:multiLevelType w:val="hybridMultilevel"/>
    <w:tmpl w:val="57642E5A"/>
    <w:lvl w:ilvl="0" w:tplc="FFFFFFFF">
      <w:start w:val="1"/>
      <w:numFmt w:val="decimal"/>
      <w:lvlText w:val="%1."/>
      <w:lvlJc w:val="left"/>
      <w:pPr>
        <w:ind w:left="1854" w:hanging="360"/>
      </w:pPr>
      <w:rPr>
        <w:rFonts w:ascii="Calibri" w:hAnsi="Calibri" w:cs="Calibri" w:hint="default"/>
      </w:r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7" w15:restartNumberingAfterBreak="0">
    <w:nsid w:val="36092C03"/>
    <w:multiLevelType w:val="hybridMultilevel"/>
    <w:tmpl w:val="57642E5A"/>
    <w:lvl w:ilvl="0" w:tplc="501A7E6C">
      <w:start w:val="1"/>
      <w:numFmt w:val="decimal"/>
      <w:lvlText w:val="%1."/>
      <w:lvlJc w:val="left"/>
      <w:pPr>
        <w:ind w:left="1854" w:hanging="360"/>
      </w:pPr>
      <w:rPr>
        <w:rFonts w:ascii="Calibri" w:hAnsi="Calibri" w:cs="Calibri" w:hint="default"/>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8" w15:restartNumberingAfterBreak="0">
    <w:nsid w:val="3CBB0624"/>
    <w:multiLevelType w:val="hybridMultilevel"/>
    <w:tmpl w:val="604243F0"/>
    <w:lvl w:ilvl="0" w:tplc="83A01F12">
      <w:start w:val="1"/>
      <w:numFmt w:val="decimal"/>
      <w:lvlText w:val="%1)"/>
      <w:lvlJc w:val="left"/>
      <w:pPr>
        <w:ind w:left="720" w:hanging="360"/>
      </w:pPr>
      <w:rPr>
        <w:rFonts w:ascii="Calibri Light" w:hAnsi="Calibri Light" w:cs="Arial Unicode MS" w:hint="default"/>
        <w:b/>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AA38CB"/>
    <w:multiLevelType w:val="hybridMultilevel"/>
    <w:tmpl w:val="604243F0"/>
    <w:lvl w:ilvl="0" w:tplc="83A01F12">
      <w:start w:val="1"/>
      <w:numFmt w:val="decimal"/>
      <w:lvlText w:val="%1)"/>
      <w:lvlJc w:val="left"/>
      <w:pPr>
        <w:ind w:left="720" w:hanging="360"/>
      </w:pPr>
      <w:rPr>
        <w:rFonts w:ascii="Calibri Light" w:hAnsi="Calibri Light" w:cs="Arial Unicode MS" w:hint="default"/>
        <w:b/>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125C14"/>
    <w:multiLevelType w:val="multilevel"/>
    <w:tmpl w:val="8D64AA4E"/>
    <w:styleLink w:val="WW8Num3"/>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2515C85"/>
    <w:multiLevelType w:val="hybridMultilevel"/>
    <w:tmpl w:val="57642E5A"/>
    <w:lvl w:ilvl="0" w:tplc="FFFFFFFF">
      <w:start w:val="1"/>
      <w:numFmt w:val="decimal"/>
      <w:lvlText w:val="%1."/>
      <w:lvlJc w:val="left"/>
      <w:pPr>
        <w:ind w:left="1854" w:hanging="360"/>
      </w:pPr>
      <w:rPr>
        <w:rFonts w:ascii="Calibri" w:hAnsi="Calibri" w:cs="Calibri" w:hint="default"/>
      </w:r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12" w15:restartNumberingAfterBreak="0">
    <w:nsid w:val="7E473107"/>
    <w:multiLevelType w:val="hybridMultilevel"/>
    <w:tmpl w:val="636A4BCE"/>
    <w:lvl w:ilvl="0" w:tplc="0444F3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27992318">
    <w:abstractNumId w:val="0"/>
  </w:num>
  <w:num w:numId="2" w16cid:durableId="757290182">
    <w:abstractNumId w:val="1"/>
  </w:num>
  <w:num w:numId="3" w16cid:durableId="513762934">
    <w:abstractNumId w:val="2"/>
  </w:num>
  <w:num w:numId="4" w16cid:durableId="1001665314">
    <w:abstractNumId w:val="3"/>
  </w:num>
  <w:num w:numId="5" w16cid:durableId="245384277">
    <w:abstractNumId w:val="10"/>
  </w:num>
  <w:num w:numId="6" w16cid:durableId="1246305506">
    <w:abstractNumId w:val="12"/>
  </w:num>
  <w:num w:numId="7" w16cid:durableId="1511799466">
    <w:abstractNumId w:val="4"/>
  </w:num>
  <w:num w:numId="8" w16cid:durableId="303895297">
    <w:abstractNumId w:val="5"/>
    <w:lvlOverride w:ilvl="0">
      <w:lvl w:ilvl="0">
        <w:start w:val="1"/>
        <w:numFmt w:val="lowerLetter"/>
        <w:lvlText w:val="%1)"/>
        <w:lvlJc w:val="left"/>
        <w:pPr>
          <w:ind w:left="720" w:hanging="360"/>
        </w:pPr>
        <w:rPr>
          <w:rFonts w:ascii="Times New Roman" w:eastAsia="Times New Roman" w:hAnsi="Times New Roman" w:cs="Times New Roman"/>
        </w:rPr>
      </w:lvl>
    </w:lvlOverride>
  </w:num>
  <w:num w:numId="9" w16cid:durableId="137577457">
    <w:abstractNumId w:val="10"/>
    <w:lvlOverride w:ilvl="0">
      <w:startOverride w:val="1"/>
    </w:lvlOverride>
  </w:num>
  <w:num w:numId="10" w16cid:durableId="61299089">
    <w:abstractNumId w:val="5"/>
    <w:lvlOverride w:ilvl="0">
      <w:startOverride w:val="1"/>
    </w:lvlOverride>
  </w:num>
  <w:num w:numId="11" w16cid:durableId="1827819092">
    <w:abstractNumId w:val="5"/>
  </w:num>
  <w:num w:numId="12" w16cid:durableId="1409838338">
    <w:abstractNumId w:val="9"/>
  </w:num>
  <w:num w:numId="13" w16cid:durableId="78334968">
    <w:abstractNumId w:val="8"/>
  </w:num>
  <w:num w:numId="14" w16cid:durableId="571695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3681363">
    <w:abstractNumId w:val="7"/>
  </w:num>
  <w:num w:numId="16" w16cid:durableId="578174157">
    <w:abstractNumId w:val="11"/>
  </w:num>
  <w:num w:numId="17" w16cid:durableId="1479415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D6"/>
    <w:rsid w:val="00012302"/>
    <w:rsid w:val="00033BDD"/>
    <w:rsid w:val="000553E2"/>
    <w:rsid w:val="00090E10"/>
    <w:rsid w:val="000D4011"/>
    <w:rsid w:val="001011BD"/>
    <w:rsid w:val="001645E2"/>
    <w:rsid w:val="00195240"/>
    <w:rsid w:val="001C2CA8"/>
    <w:rsid w:val="00274C7F"/>
    <w:rsid w:val="002E76CA"/>
    <w:rsid w:val="00307D6A"/>
    <w:rsid w:val="00315757"/>
    <w:rsid w:val="00371A55"/>
    <w:rsid w:val="004626C9"/>
    <w:rsid w:val="00536777"/>
    <w:rsid w:val="0057372D"/>
    <w:rsid w:val="00636B85"/>
    <w:rsid w:val="00651844"/>
    <w:rsid w:val="00721892"/>
    <w:rsid w:val="00792B93"/>
    <w:rsid w:val="007A4BDE"/>
    <w:rsid w:val="008205AE"/>
    <w:rsid w:val="00845BB7"/>
    <w:rsid w:val="00864343"/>
    <w:rsid w:val="00871010"/>
    <w:rsid w:val="008A4D6D"/>
    <w:rsid w:val="008D59D5"/>
    <w:rsid w:val="00AB5076"/>
    <w:rsid w:val="00B407A3"/>
    <w:rsid w:val="00B92A67"/>
    <w:rsid w:val="00BE597D"/>
    <w:rsid w:val="00BF3C65"/>
    <w:rsid w:val="00C66BB4"/>
    <w:rsid w:val="00CA7E6E"/>
    <w:rsid w:val="00D34F04"/>
    <w:rsid w:val="00D77ED0"/>
    <w:rsid w:val="00D84988"/>
    <w:rsid w:val="00DB283F"/>
    <w:rsid w:val="00DC3032"/>
    <w:rsid w:val="00DE05D6"/>
    <w:rsid w:val="00E2742B"/>
    <w:rsid w:val="00E50E3E"/>
    <w:rsid w:val="00EB5714"/>
    <w:rsid w:val="00EC5624"/>
    <w:rsid w:val="00EE1E94"/>
    <w:rsid w:val="00F24317"/>
    <w:rsid w:val="00FA3E71"/>
    <w:rsid w:val="00FC7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8131"/>
  <w15:chartTrackingRefBased/>
  <w15:docId w15:val="{BBB90A8A-110A-42E8-AFA9-66789623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E05D6"/>
  </w:style>
  <w:style w:type="paragraph" w:styleId="Tekstpodstawowy">
    <w:name w:val="Body Text"/>
    <w:basedOn w:val="Normalny"/>
    <w:link w:val="TekstpodstawowyZnak"/>
    <w:rsid w:val="00DE05D6"/>
    <w:pPr>
      <w:widowControl w:val="0"/>
      <w:suppressAutoHyphens/>
      <w:spacing w:after="120" w:line="100" w:lineRule="atLeast"/>
      <w:textAlignment w:val="baseline"/>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DE05D6"/>
    <w:rPr>
      <w:rFonts w:ascii="Times New Roman" w:eastAsia="SimSun" w:hAnsi="Times New Roman" w:cs="Mangal"/>
      <w:kern w:val="1"/>
      <w:sz w:val="24"/>
      <w:szCs w:val="24"/>
      <w:lang w:eastAsia="hi-IN" w:bidi="hi-IN"/>
    </w:rPr>
  </w:style>
  <w:style w:type="paragraph" w:customStyle="1" w:styleId="Normalny1">
    <w:name w:val="Normalny1"/>
    <w:rsid w:val="00DE05D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tyt">
    <w:name w:val="tyt"/>
    <w:basedOn w:val="Normalny"/>
    <w:rsid w:val="00DE05D6"/>
    <w:pPr>
      <w:keepNext/>
      <w:widowControl w:val="0"/>
      <w:suppressAutoHyphens/>
      <w:spacing w:before="60" w:after="60" w:line="100" w:lineRule="atLeast"/>
      <w:jc w:val="center"/>
      <w:textAlignment w:val="baseline"/>
    </w:pPr>
    <w:rPr>
      <w:rFonts w:ascii="Times New Roman" w:eastAsia="SimSun" w:hAnsi="Times New Roman" w:cs="Mangal"/>
      <w:b/>
      <w:kern w:val="1"/>
      <w:sz w:val="24"/>
      <w:szCs w:val="24"/>
      <w:lang w:eastAsia="hi-IN" w:bidi="hi-IN"/>
    </w:rPr>
  </w:style>
  <w:style w:type="paragraph" w:styleId="NormalnyWeb">
    <w:name w:val="Normal (Web)"/>
    <w:basedOn w:val="Normalny"/>
    <w:rsid w:val="00DE05D6"/>
    <w:pPr>
      <w:widowControl w:val="0"/>
      <w:suppressAutoHyphens/>
      <w:spacing w:before="280" w:after="280" w:line="100" w:lineRule="atLeast"/>
      <w:textAlignment w:val="baseline"/>
    </w:pPr>
    <w:rPr>
      <w:rFonts w:ascii="Times New Roman" w:eastAsia="SimSun" w:hAnsi="Times New Roman" w:cs="Mangal"/>
      <w:kern w:val="1"/>
      <w:sz w:val="24"/>
      <w:szCs w:val="24"/>
      <w:lang w:eastAsia="hi-IN" w:bidi="hi-IN"/>
    </w:rPr>
  </w:style>
  <w:style w:type="paragraph" w:customStyle="1" w:styleId="msonormal0">
    <w:name w:val="msonormal"/>
    <w:basedOn w:val="Normalny"/>
    <w:rsid w:val="007A4B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semiHidden/>
    <w:unhideWhenUsed/>
    <w:rsid w:val="007A4BD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7A4BDE"/>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7A4BD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7A4BDE"/>
    <w:rPr>
      <w:rFonts w:ascii="Times New Roman" w:eastAsia="Times New Roman" w:hAnsi="Times New Roman" w:cs="Times New Roman"/>
      <w:sz w:val="24"/>
      <w:szCs w:val="24"/>
      <w:lang w:eastAsia="pl-PL"/>
    </w:rPr>
  </w:style>
  <w:style w:type="table" w:styleId="Tabela-Siatka">
    <w:name w:val="Table Grid"/>
    <w:basedOn w:val="Standardowy"/>
    <w:rsid w:val="007A4BD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basedOn w:val="Bezlisty"/>
    <w:rsid w:val="007A4BDE"/>
    <w:pPr>
      <w:numPr>
        <w:numId w:val="5"/>
      </w:numPr>
    </w:pPr>
  </w:style>
  <w:style w:type="paragraph" w:styleId="Akapitzlist">
    <w:name w:val="List Paragraph"/>
    <w:basedOn w:val="Normalny"/>
    <w:uiPriority w:val="34"/>
    <w:qFormat/>
    <w:rsid w:val="007A4BDE"/>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customStyle="1" w:styleId="Standard">
    <w:name w:val="Standard"/>
    <w:rsid w:val="00307D6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307D6A"/>
    <w:pPr>
      <w:numPr>
        <w:numId w:val="11"/>
      </w:numPr>
    </w:pPr>
  </w:style>
  <w:style w:type="paragraph" w:styleId="Tekstdymka">
    <w:name w:val="Balloon Text"/>
    <w:basedOn w:val="Normalny"/>
    <w:link w:val="TekstdymkaZnak"/>
    <w:uiPriority w:val="99"/>
    <w:semiHidden/>
    <w:unhideWhenUsed/>
    <w:rsid w:val="00090E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E10"/>
    <w:rPr>
      <w:rFonts w:ascii="Segoe UI" w:hAnsi="Segoe UI" w:cs="Segoe UI"/>
      <w:sz w:val="18"/>
      <w:szCs w:val="18"/>
    </w:rPr>
  </w:style>
  <w:style w:type="character" w:styleId="Hipercze">
    <w:name w:val="Hyperlink"/>
    <w:rsid w:val="00DC3032"/>
    <w:rPr>
      <w:color w:val="0000FF"/>
      <w:u w:val="single"/>
    </w:rPr>
  </w:style>
  <w:style w:type="paragraph" w:customStyle="1" w:styleId="Textbody">
    <w:name w:val="Text body"/>
    <w:basedOn w:val="Normalny"/>
    <w:rsid w:val="00651844"/>
    <w:pPr>
      <w:suppressAutoHyphens/>
      <w:autoSpaceDN w:val="0"/>
      <w:spacing w:after="120" w:line="240" w:lineRule="auto"/>
      <w:textAlignment w:val="baseline"/>
    </w:pPr>
    <w:rPr>
      <w:rFonts w:ascii="Times New Roman" w:eastAsia="Times New Roman" w:hAnsi="Times New Roman" w:cs="Arial Unicode MS"/>
      <w:color w:val="000000"/>
      <w:kern w:val="3"/>
      <w:sz w:val="24"/>
      <w:szCs w:val="24"/>
      <w:lang w:eastAsia="pl-PL"/>
    </w:rPr>
  </w:style>
  <w:style w:type="paragraph" w:styleId="Tekstpodstawowywcity">
    <w:name w:val="Body Text Indent"/>
    <w:basedOn w:val="Normalny"/>
    <w:link w:val="TekstpodstawowywcityZnak"/>
    <w:uiPriority w:val="99"/>
    <w:semiHidden/>
    <w:unhideWhenUsed/>
    <w:rsid w:val="00F24317"/>
    <w:pPr>
      <w:spacing w:after="120"/>
      <w:ind w:left="283"/>
    </w:pPr>
  </w:style>
  <w:style w:type="character" w:customStyle="1" w:styleId="TekstpodstawowywcityZnak">
    <w:name w:val="Tekst podstawowy wcięty Znak"/>
    <w:basedOn w:val="Domylnaczcionkaakapitu"/>
    <w:link w:val="Tekstpodstawowywcity"/>
    <w:uiPriority w:val="99"/>
    <w:semiHidden/>
    <w:rsid w:val="00F24317"/>
  </w:style>
  <w:style w:type="character" w:customStyle="1" w:styleId="FontStyle24">
    <w:name w:val="Font Style24"/>
    <w:rsid w:val="00F24317"/>
    <w:rPr>
      <w:rFonts w:ascii="Times New Roman" w:eastAsia="Times New Roman" w:hAnsi="Times New Roman" w:cs="Times New Roman" w:hint="default"/>
      <w:color w:val="000000"/>
      <w:sz w:val="22"/>
      <w:szCs w:val="22"/>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7050">
      <w:bodyDiv w:val="1"/>
      <w:marLeft w:val="0"/>
      <w:marRight w:val="0"/>
      <w:marTop w:val="0"/>
      <w:marBottom w:val="0"/>
      <w:divBdr>
        <w:top w:val="none" w:sz="0" w:space="0" w:color="auto"/>
        <w:left w:val="none" w:sz="0" w:space="0" w:color="auto"/>
        <w:bottom w:val="none" w:sz="0" w:space="0" w:color="auto"/>
        <w:right w:val="none" w:sz="0" w:space="0" w:color="auto"/>
      </w:divBdr>
    </w:div>
    <w:div w:id="690112963">
      <w:bodyDiv w:val="1"/>
      <w:marLeft w:val="0"/>
      <w:marRight w:val="0"/>
      <w:marTop w:val="0"/>
      <w:marBottom w:val="0"/>
      <w:divBdr>
        <w:top w:val="none" w:sz="0" w:space="0" w:color="auto"/>
        <w:left w:val="none" w:sz="0" w:space="0" w:color="auto"/>
        <w:bottom w:val="none" w:sz="0" w:space="0" w:color="auto"/>
        <w:right w:val="none" w:sz="0" w:space="0" w:color="auto"/>
      </w:divBdr>
    </w:div>
    <w:div w:id="800152863">
      <w:bodyDiv w:val="1"/>
      <w:marLeft w:val="0"/>
      <w:marRight w:val="0"/>
      <w:marTop w:val="0"/>
      <w:marBottom w:val="0"/>
      <w:divBdr>
        <w:top w:val="none" w:sz="0" w:space="0" w:color="auto"/>
        <w:left w:val="none" w:sz="0" w:space="0" w:color="auto"/>
        <w:bottom w:val="none" w:sz="0" w:space="0" w:color="auto"/>
        <w:right w:val="none" w:sz="0" w:space="0" w:color="auto"/>
      </w:divBdr>
    </w:div>
    <w:div w:id="1110516313">
      <w:bodyDiv w:val="1"/>
      <w:marLeft w:val="0"/>
      <w:marRight w:val="0"/>
      <w:marTop w:val="0"/>
      <w:marBottom w:val="0"/>
      <w:divBdr>
        <w:top w:val="none" w:sz="0" w:space="0" w:color="auto"/>
        <w:left w:val="none" w:sz="0" w:space="0" w:color="auto"/>
        <w:bottom w:val="none" w:sz="0" w:space="0" w:color="auto"/>
        <w:right w:val="none" w:sz="0" w:space="0" w:color="auto"/>
      </w:divBdr>
    </w:div>
    <w:div w:id="1708336995">
      <w:bodyDiv w:val="1"/>
      <w:marLeft w:val="0"/>
      <w:marRight w:val="0"/>
      <w:marTop w:val="0"/>
      <w:marBottom w:val="0"/>
      <w:divBdr>
        <w:top w:val="none" w:sz="0" w:space="0" w:color="auto"/>
        <w:left w:val="none" w:sz="0" w:space="0" w:color="auto"/>
        <w:bottom w:val="none" w:sz="0" w:space="0" w:color="auto"/>
        <w:right w:val="none" w:sz="0" w:space="0" w:color="auto"/>
      </w:divBdr>
    </w:div>
    <w:div w:id="17251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08E7-BAE5-4122-9EEA-FD3A96C1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1060</Words>
  <Characters>6366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uzytkownik1</dc:creator>
  <cp:keywords/>
  <dc:description/>
  <cp:lastModifiedBy>Jacek</cp:lastModifiedBy>
  <cp:revision>19</cp:revision>
  <cp:lastPrinted>2018-01-11T10:45:00Z</cp:lastPrinted>
  <dcterms:created xsi:type="dcterms:W3CDTF">2018-01-11T10:47:00Z</dcterms:created>
  <dcterms:modified xsi:type="dcterms:W3CDTF">2022-07-01T06:48:00Z</dcterms:modified>
</cp:coreProperties>
</file>