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9E3489">
        <w:rPr>
          <w:b/>
        </w:rPr>
        <w:t>264</w:t>
      </w:r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:rsidR="009B1B2F" w:rsidRPr="00327E8B" w:rsidRDefault="009B1B2F" w:rsidP="0075577A">
      <w:pPr>
        <w:autoSpaceDE w:val="0"/>
        <w:spacing w:line="276" w:lineRule="auto"/>
        <w:jc w:val="both"/>
        <w:rPr>
          <w:b/>
          <w:bCs/>
          <w:color w:val="000000"/>
          <w:szCs w:val="24"/>
        </w:rPr>
      </w:pPr>
      <w:bookmarkStart w:id="0" w:name="_GoBack"/>
      <w:bookmarkEnd w:id="0"/>
    </w:p>
    <w:p w:rsidR="0075577A" w:rsidRDefault="009E3489" w:rsidP="0075577A">
      <w:pPr>
        <w:pStyle w:val="Nagwek3"/>
        <w:spacing w:before="0" w:after="0" w:line="276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</w:rPr>
        <w:t>„Wykonanie remontu</w:t>
      </w:r>
      <w:r w:rsidRPr="000253E0">
        <w:rPr>
          <w:rFonts w:ascii="Times New Roman" w:hAnsi="Times New Roman"/>
        </w:rPr>
        <w:t xml:space="preserve">  pomieszczeń w budynku przy ul. </w:t>
      </w:r>
      <w:proofErr w:type="spellStart"/>
      <w:r>
        <w:rPr>
          <w:rFonts w:ascii="Times New Roman" w:hAnsi="Times New Roman"/>
        </w:rPr>
        <w:t>Prawocheńskiego</w:t>
      </w:r>
      <w:proofErr w:type="spellEnd"/>
      <w:r>
        <w:rPr>
          <w:rFonts w:ascii="Times New Roman" w:hAnsi="Times New Roman"/>
        </w:rPr>
        <w:t xml:space="preserve"> 15, Oczapowskiego 5, Heweliusza 12</w:t>
      </w:r>
      <w:r w:rsidR="0075577A">
        <w:rPr>
          <w:rFonts w:ascii="Times New Roman" w:hAnsi="Times New Roman"/>
        </w:rPr>
        <w:t>i Heweliusza 4</w:t>
      </w:r>
      <w:r w:rsidRPr="009E3489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Pr="009E3489">
        <w:rPr>
          <w:rFonts w:ascii="Times New Roman" w:hAnsi="Times New Roman"/>
          <w:iCs/>
        </w:rPr>
        <w:t>Uniwersytetu</w:t>
      </w:r>
    </w:p>
    <w:p w:rsidR="009E3489" w:rsidRPr="0075577A" w:rsidRDefault="009E3489" w:rsidP="0075577A">
      <w:pPr>
        <w:pStyle w:val="Nagwek3"/>
        <w:spacing w:before="0" w:after="0" w:line="276" w:lineRule="auto"/>
        <w:jc w:val="center"/>
        <w:rPr>
          <w:rFonts w:ascii="Times New Roman" w:hAnsi="Times New Roman"/>
          <w:iCs/>
        </w:rPr>
      </w:pPr>
      <w:r w:rsidRPr="009E3489">
        <w:rPr>
          <w:rFonts w:ascii="Times New Roman" w:hAnsi="Times New Roman"/>
          <w:iCs/>
        </w:rPr>
        <w:t xml:space="preserve"> Warmińsko- Mazurskiego</w:t>
      </w:r>
      <w:r w:rsidR="0075577A">
        <w:rPr>
          <w:rFonts w:ascii="Times New Roman" w:hAnsi="Times New Roman"/>
          <w:iCs/>
        </w:rPr>
        <w:t xml:space="preserve"> </w:t>
      </w:r>
      <w:r w:rsidRPr="009E3489">
        <w:rPr>
          <w:rFonts w:ascii="Times New Roman" w:hAnsi="Times New Roman"/>
          <w:iCs/>
        </w:rPr>
        <w:t>w Olsztynie</w:t>
      </w:r>
      <w:r>
        <w:rPr>
          <w:rFonts w:ascii="Times New Roman" w:hAnsi="Times New Roman"/>
        </w:rPr>
        <w:t>”</w:t>
      </w:r>
    </w:p>
    <w:p w:rsidR="0075577A" w:rsidRDefault="0075577A" w:rsidP="0075577A">
      <w:pPr>
        <w:pStyle w:val="Nagwek3"/>
        <w:ind w:left="360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wykonanie remontu pomieszczeń w </w:t>
      </w:r>
      <w:r>
        <w:rPr>
          <w:rFonts w:ascii="Times New Roman" w:hAnsi="Times New Roman"/>
          <w:b w:val="0"/>
          <w:sz w:val="22"/>
          <w:szCs w:val="22"/>
        </w:rPr>
        <w:t xml:space="preserve"> budynku przy ul.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Prawocheńskiego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15, Oczapowskiego 5, Heweliusza 12,</w:t>
      </w:r>
      <w:r>
        <w:rPr>
          <w:rFonts w:ascii="Times New Roman" w:hAnsi="Times New Roman"/>
          <w:b w:val="0"/>
          <w:sz w:val="22"/>
          <w:szCs w:val="22"/>
        </w:rPr>
        <w:t xml:space="preserve"> Heweliusza 4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Uniwersytetu Warmińsko-Mazurskiego w Olsztynie, polegającego na:</w:t>
      </w:r>
    </w:p>
    <w:p w:rsidR="0075577A" w:rsidRDefault="0075577A" w:rsidP="0075577A">
      <w:pPr>
        <w:pStyle w:val="Akapitzlist"/>
        <w:spacing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Prawocheńskiego</w:t>
      </w:r>
      <w:proofErr w:type="spellEnd"/>
      <w:r>
        <w:rPr>
          <w:rFonts w:ascii="Times New Roman" w:hAnsi="Times New Roman"/>
          <w:b/>
        </w:rPr>
        <w:t xml:space="preserve"> 15</w:t>
      </w:r>
    </w:p>
    <w:p w:rsidR="0075577A" w:rsidRDefault="0075577A" w:rsidP="0075577A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121 – malowanie ścian (56m2) i sufitów (16,21m2) oraz wymiana wykładziny na PCV (16,21m2)</w:t>
      </w:r>
    </w:p>
    <w:p w:rsidR="0075577A" w:rsidRDefault="0075577A" w:rsidP="0075577A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 3 -  malowanie ścian (52m2) i sufitów (11,2m2) </w:t>
      </w:r>
    </w:p>
    <w:p w:rsidR="0075577A" w:rsidRDefault="0075577A" w:rsidP="0075577A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302 – malowanie ścian (79,2m2) i sufitów (36,05m2) oraz wymiana wykładziny na PCV (36,05m2)</w:t>
      </w:r>
    </w:p>
    <w:p w:rsidR="0075577A" w:rsidRDefault="0075577A" w:rsidP="0075577A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 201 – malowanie ścian (112m2) i sufitów (83m2) </w:t>
      </w:r>
    </w:p>
    <w:p w:rsidR="0075577A" w:rsidRDefault="0075577A" w:rsidP="0075577A">
      <w:pPr>
        <w:pStyle w:val="Akapitzlist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Heweliusza 12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19 – malowanie ścian (36,5m2) i sufitów (12,6m2) oraz wymiana wykładziny (12,6m2)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05 – malowanie ścian (35,7m2) i sufitów (12,3m2) oraz wymiana wykładziny na PCV (12,3m2)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 02 – malowanie ścian (82,7m2) i sufitów (61,7m2) 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09– malowanie ścian z lakierowaniem do 160cm (82,2m2) i sufitów (61,31m2)  oraz wymiana wykładziny na PCV ( 61,32m2)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010 – malowanie ścian ( 51,1m2) i sufitów (25,32m2)oraz wymiana wykładziny na dywanową ( 25,32m2)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Korytarz parter - malowanie ścian (132,7m2) i sufitów (76,5m2) oraz wymiana wykładziny na PCV (76,5m2)</w:t>
      </w:r>
    </w:p>
    <w:p w:rsidR="0075577A" w:rsidRDefault="0075577A" w:rsidP="0075577A">
      <w:pPr>
        <w:pStyle w:val="Akapitzlist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Oczapowskiego 5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309  – malowanie ścian (52,16m2) i sufitów (13,1m2) oraz wymiana wykładziny  (13,1m2)</w:t>
      </w:r>
    </w:p>
    <w:p w:rsidR="0075577A" w:rsidRDefault="0075577A" w:rsidP="0075577A">
      <w:pPr>
        <w:pStyle w:val="Akapitzlist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Heweliusza 4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0.18 – malowanie ścian ( 15m2)</w:t>
      </w:r>
    </w:p>
    <w:p w:rsidR="0075577A" w:rsidRDefault="0075577A" w:rsidP="0075577A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 0.16 – malowanie ściany ( 20m2)</w:t>
      </w:r>
    </w:p>
    <w:p w:rsidR="0075577A" w:rsidRDefault="0075577A" w:rsidP="0075577A">
      <w:pPr>
        <w:pStyle w:val="Akapitzli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lastRenderedPageBreak/>
        <w:t xml:space="preserve">Malowaniu farbami emulsyjnymi pastelowymi </w:t>
      </w:r>
      <w:r>
        <w:rPr>
          <w:rFonts w:ascii="Times New Roman" w:hAnsi="Times New Roman"/>
          <w:shd w:val="clear" w:color="auto" w:fill="FFFFFF"/>
        </w:rPr>
        <w:t xml:space="preserve">odpornymi na zmywanie i szorowanie oraz  lakierowanie ścian w kolorze jasnym pastelowym –mat,  właściwymi do stosowania wewnątrz pomieszczeń mieszkalnych powierzchnia sufitów i ścian. Wymiana wykładziny we wskazanych pomieszczeniach o kolorystyce uzgodnionej z użytkownikiem. </w:t>
      </w:r>
    </w:p>
    <w:p w:rsidR="0075577A" w:rsidRDefault="0075577A" w:rsidP="0075577A">
      <w:pPr>
        <w:pStyle w:val="Akapitzli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Wykładzina dywanowa o parametrach nie mniejszych niż</w:t>
      </w:r>
    </w:p>
    <w:p w:rsidR="0075577A" w:rsidRDefault="0075577A" w:rsidP="0075577A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  <w:b/>
        </w:rPr>
        <w:t xml:space="preserve">Gęstość włosa – 0,137 gr/cm3,Waga runa min – 785 gr/m2 Waga całkowita min – 4540 gr/m2 Wysokość runa – 3mm,Wysokość całkowita – 5 </w:t>
      </w:r>
      <w:proofErr w:type="spellStart"/>
      <w:r>
        <w:rPr>
          <w:rFonts w:ascii="Times New Roman" w:hAnsi="Times New Roman"/>
          <w:b/>
        </w:rPr>
        <w:t>mm,Ilość</w:t>
      </w:r>
      <w:proofErr w:type="spellEnd"/>
      <w:r>
        <w:rPr>
          <w:rFonts w:ascii="Times New Roman" w:hAnsi="Times New Roman"/>
          <w:b/>
        </w:rPr>
        <w:t xml:space="preserve"> włókien min – 259000/m2,Klasa palności – Bfl-S1,Klasa użytkowa min.– 33,Odporność na płowienie &gt;= 5,Odporność na ścieranie &gt;= 4,Odporność na działanie wody - &gt;= 4</w:t>
      </w:r>
    </w:p>
    <w:p w:rsidR="0075577A" w:rsidRDefault="0075577A" w:rsidP="0075577A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Wykładzina PCV o parametrach nie mniejszych niż:</w:t>
      </w:r>
    </w:p>
    <w:p w:rsidR="0075577A" w:rsidRDefault="0075577A" w:rsidP="0075577A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grubość całkowita wg EN 428 </w:t>
      </w:r>
      <w:r>
        <w:rPr>
          <w:sz w:val="22"/>
          <w:szCs w:val="22"/>
        </w:rPr>
        <w:t xml:space="preserve">2.5 </w:t>
      </w:r>
      <w:proofErr w:type="spellStart"/>
      <w:r>
        <w:rPr>
          <w:sz w:val="22"/>
          <w:szCs w:val="22"/>
        </w:rPr>
        <w:t>mm</w:t>
      </w:r>
      <w:r>
        <w:rPr>
          <w:b/>
          <w:sz w:val="22"/>
          <w:szCs w:val="22"/>
        </w:rPr>
        <w:t>,grubość</w:t>
      </w:r>
      <w:proofErr w:type="spellEnd"/>
      <w:r>
        <w:rPr>
          <w:b/>
          <w:sz w:val="22"/>
          <w:szCs w:val="22"/>
        </w:rPr>
        <w:t xml:space="preserve"> warstwy użytkowej  wg  EN 429</w:t>
      </w:r>
      <w:r>
        <w:rPr>
          <w:sz w:val="22"/>
          <w:szCs w:val="22"/>
        </w:rPr>
        <w:t xml:space="preserve">  ≥0,7mm</w:t>
      </w:r>
      <w:r>
        <w:rPr>
          <w:b/>
          <w:sz w:val="22"/>
          <w:szCs w:val="22"/>
        </w:rPr>
        <w:t>,Waga całkowita EN 430</w:t>
      </w:r>
      <w:r>
        <w:rPr>
          <w:sz w:val="22"/>
          <w:szCs w:val="22"/>
        </w:rPr>
        <w:t xml:space="preserve"> 4100 g/m2 (design), 3960 g/m2</w:t>
      </w:r>
      <w:r>
        <w:rPr>
          <w:b/>
          <w:sz w:val="22"/>
          <w:szCs w:val="22"/>
        </w:rPr>
        <w:t xml:space="preserve">,klasa użytkowa wg EN 685 </w:t>
      </w:r>
      <w:r>
        <w:rPr>
          <w:sz w:val="22"/>
          <w:szCs w:val="22"/>
        </w:rPr>
        <w:t>34/43</w:t>
      </w:r>
      <w:r>
        <w:rPr>
          <w:b/>
          <w:sz w:val="22"/>
          <w:szCs w:val="22"/>
        </w:rPr>
        <w:t>,klasyfikacja ogniowa wg EN 13501-1</w:t>
      </w:r>
      <w:r>
        <w:rPr>
          <w:sz w:val="22"/>
          <w:szCs w:val="22"/>
        </w:rPr>
        <w:t xml:space="preserve"> Bfl-s1</w:t>
      </w:r>
      <w:r>
        <w:rPr>
          <w:b/>
          <w:sz w:val="22"/>
          <w:szCs w:val="22"/>
        </w:rPr>
        <w:t>,antystatyczność wg  EN 1815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 &lt;2,</w:t>
      </w:r>
      <w:r>
        <w:rPr>
          <w:b/>
          <w:sz w:val="22"/>
          <w:szCs w:val="22"/>
        </w:rPr>
        <w:t>antypoślizgowość ( test rampy z olejem norma DIN 51 130)</w:t>
      </w:r>
      <w:r>
        <w:rPr>
          <w:sz w:val="22"/>
          <w:szCs w:val="22"/>
        </w:rPr>
        <w:t xml:space="preserve"> klasa R10,</w:t>
      </w:r>
      <w:r>
        <w:rPr>
          <w:b/>
          <w:sz w:val="22"/>
          <w:szCs w:val="22"/>
        </w:rPr>
        <w:t>odporność na ścieranie wg EN 660.2</w:t>
      </w:r>
      <w:r>
        <w:rPr>
          <w:sz w:val="22"/>
          <w:szCs w:val="22"/>
        </w:rPr>
        <w:t xml:space="preserve">  ≤ 2.0 </w:t>
      </w:r>
      <w:proofErr w:type="spellStart"/>
      <w:r>
        <w:rPr>
          <w:sz w:val="22"/>
          <w:szCs w:val="22"/>
        </w:rPr>
        <w:t>mm,</w:t>
      </w:r>
      <w:r>
        <w:rPr>
          <w:b/>
          <w:sz w:val="22"/>
          <w:szCs w:val="22"/>
        </w:rPr>
        <w:t>grupa</w:t>
      </w:r>
      <w:proofErr w:type="spellEnd"/>
      <w:r>
        <w:rPr>
          <w:b/>
          <w:sz w:val="22"/>
          <w:szCs w:val="22"/>
        </w:rPr>
        <w:t xml:space="preserve"> ścieralności wg EN 649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T,</w:t>
      </w:r>
      <w:r>
        <w:rPr>
          <w:b/>
          <w:sz w:val="22"/>
          <w:szCs w:val="22"/>
        </w:rPr>
        <w:t>stabilność</w:t>
      </w:r>
      <w:proofErr w:type="spellEnd"/>
      <w:r>
        <w:rPr>
          <w:b/>
          <w:sz w:val="22"/>
          <w:szCs w:val="22"/>
        </w:rPr>
        <w:t xml:space="preserve"> wymiarowa wg EN 434</w:t>
      </w:r>
      <w:r>
        <w:rPr>
          <w:sz w:val="22"/>
          <w:szCs w:val="22"/>
        </w:rPr>
        <w:t xml:space="preserve"> ≤ 0.10 %,</w:t>
      </w:r>
      <w:r>
        <w:rPr>
          <w:b/>
          <w:sz w:val="22"/>
          <w:szCs w:val="22"/>
        </w:rPr>
        <w:t>wgniecenia resztkowe  wg EN 433</w:t>
      </w:r>
      <w:r>
        <w:rPr>
          <w:sz w:val="22"/>
          <w:szCs w:val="22"/>
        </w:rPr>
        <w:t xml:space="preserve"> ≤ 0.1 </w:t>
      </w:r>
      <w:proofErr w:type="spellStart"/>
      <w:r>
        <w:rPr>
          <w:sz w:val="22"/>
          <w:szCs w:val="22"/>
        </w:rPr>
        <w:t>mm,</w:t>
      </w:r>
      <w:r>
        <w:rPr>
          <w:b/>
          <w:sz w:val="22"/>
          <w:szCs w:val="22"/>
        </w:rPr>
        <w:t>właściwości</w:t>
      </w:r>
      <w:proofErr w:type="spellEnd"/>
      <w:r>
        <w:rPr>
          <w:b/>
          <w:sz w:val="22"/>
          <w:szCs w:val="22"/>
        </w:rPr>
        <w:t xml:space="preserve"> akustyczne  (izolacja dźwięku uderzeniowego – wyciszenie do sąsiada) wg EN ISO  717-2</w:t>
      </w:r>
      <w:r>
        <w:rPr>
          <w:sz w:val="22"/>
          <w:szCs w:val="22"/>
        </w:rPr>
        <w:t xml:space="preserve">  4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b/>
          <w:sz w:val="22"/>
          <w:szCs w:val="22"/>
        </w:rPr>
        <w:t>, wyciszenie dźwięków uderzeniowych wewnątrz pokoju (izolacja akustyczna) NF S 31074</w:t>
      </w:r>
      <w:r>
        <w:rPr>
          <w:sz w:val="22"/>
          <w:szCs w:val="22"/>
        </w:rPr>
        <w:t xml:space="preserve"> 76dB (klasa C) </w:t>
      </w:r>
      <w:r>
        <w:rPr>
          <w:b/>
          <w:sz w:val="22"/>
          <w:szCs w:val="22"/>
        </w:rPr>
        <w:t>,Test mebli na kółkach- EN 425 – OK, przewodność termiczna wg  EN 12524</w:t>
      </w:r>
      <w:r>
        <w:rPr>
          <w:sz w:val="22"/>
          <w:szCs w:val="22"/>
        </w:rPr>
        <w:t xml:space="preserve"> 0.25 W/(</w:t>
      </w:r>
      <w:proofErr w:type="spellStart"/>
      <w:r>
        <w:rPr>
          <w:sz w:val="22"/>
          <w:szCs w:val="22"/>
        </w:rPr>
        <w:t>m.K</w:t>
      </w:r>
      <w:proofErr w:type="spellEnd"/>
      <w:r>
        <w:rPr>
          <w:sz w:val="22"/>
          <w:szCs w:val="22"/>
        </w:rPr>
        <w:t>)</w:t>
      </w:r>
      <w:r>
        <w:rPr>
          <w:b/>
          <w:sz w:val="22"/>
          <w:szCs w:val="22"/>
        </w:rPr>
        <w:t>, odporność barw na światło wg EN 20 105 - B02</w:t>
      </w:r>
      <w:r>
        <w:rPr>
          <w:sz w:val="22"/>
          <w:szCs w:val="22"/>
        </w:rPr>
        <w:t xml:space="preserve"> ≥6 stopni</w:t>
      </w:r>
    </w:p>
    <w:p w:rsidR="0075577A" w:rsidRDefault="0075577A" w:rsidP="0075577A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                              </w:t>
      </w:r>
    </w:p>
    <w:p w:rsidR="0075577A" w:rsidRDefault="0075577A" w:rsidP="0075577A">
      <w:pPr>
        <w:rPr>
          <w:sz w:val="22"/>
          <w:szCs w:val="22"/>
        </w:rPr>
      </w:pPr>
    </w:p>
    <w:p w:rsidR="0075577A" w:rsidRDefault="0075577A" w:rsidP="0075577A">
      <w:pPr>
        <w:ind w:left="710"/>
        <w:rPr>
          <w:sz w:val="22"/>
          <w:szCs w:val="22"/>
          <w:shd w:val="clear" w:color="auto" w:fill="FFFFFF"/>
        </w:rPr>
      </w:pP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Wszystkie meble należy zabezpieczyć folią przed zniszczeniem. Dopuszcza się przenoszenie mebli lub grupowanie w celu zabezpieczenia folią. Przy przenoszeniu mebli, meble należy oznaczyć i powrotnie przenieść w to samo miejsce skąd były wynoszone lub przemieszczane.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zakończeniu robót związanych z remontem pomieszczeń, należy wymyć okna i sprzątnąć do czysta korytarze i klatki schodowe.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Codziennie po zakończeniu prac należy zmyć posadzkę na korytarzu i klatkach schodowych.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czas remontu należy zapewnić beczkę na zlewanie pozostałości po farbach, klejach, szpachli itp. jak również do płukania narzędzi. Ma to na celu uniknięcia zapchania kanalizacji odpadami budowlanymi i resztkami farb.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prace remontowe będzie można prowadzić w godzinach od 7.00 do 21.00. 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wykonywania robót malarskich dopuszcza się używanie pędzli i wałków malarskich. Wszystkie inne techniki malarskie są zabronione.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Nie dopuszcza się mieszania gruntu z farbami emulsyjnymi. Każdą czynność należy wykonać oddzielnie.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prowadzenia prac remontowych obowiązuje całkowity zakaz palenia tytoniu w budynku i wokół budynku.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sporządzeniem oferty należy dokonać wizji lokalnej.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Wizji lokalnej można dokonać w dni robocze w godz. 9.00 do 13.00 zgłaszając się do Pawła Wiśniewskiego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661-908-098 lub e-mail: pawel.wisniewski@uwm.edu.pl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zobowiązany jest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do  wyniesienia, wywiezienia i utylizacji odpadów budowlanych na   </w:t>
      </w:r>
    </w:p>
    <w:p w:rsidR="0075577A" w:rsidRDefault="0075577A" w:rsidP="0075577A">
      <w:pPr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>swój koszt.</w:t>
      </w:r>
    </w:p>
    <w:p w:rsidR="0075577A" w:rsidRDefault="0075577A" w:rsidP="0075577A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materiały użyte do remontu muszą być materiałami nowymi i posiadać odpowiednie </w:t>
      </w:r>
    </w:p>
    <w:p w:rsidR="0075577A" w:rsidRDefault="0075577A" w:rsidP="0075577A">
      <w:pPr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:rsidR="0075577A" w:rsidRDefault="0075577A" w:rsidP="0075577A">
      <w:pPr>
        <w:pStyle w:val="Nagwek3"/>
        <w:widowControl w:val="0"/>
        <w:numPr>
          <w:ilvl w:val="0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Okres gwarancji na wykonane roboty minimum 24 miesiące.</w:t>
      </w:r>
      <w:r>
        <w:rPr>
          <w:rFonts w:ascii="Times New Roman" w:hAnsi="Times New Roman"/>
          <w:sz w:val="22"/>
          <w:szCs w:val="22"/>
        </w:rPr>
        <w:t xml:space="preserve">     </w:t>
      </w:r>
    </w:p>
    <w:p w:rsidR="0075577A" w:rsidRDefault="0075577A" w:rsidP="0075577A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Przedstawione przedmiary robót mają charakter pomocniczy. </w:t>
      </w:r>
    </w:p>
    <w:p w:rsidR="0075577A" w:rsidRDefault="0075577A" w:rsidP="0075577A">
      <w:pPr>
        <w:pStyle w:val="Nagwek3"/>
        <w:ind w:left="420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</w:t>
      </w:r>
    </w:p>
    <w:p w:rsidR="0075577A" w:rsidRDefault="0075577A" w:rsidP="0075577A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Termin wykonania wszystkich prac:  40 dni od podpisania umowy </w:t>
      </w:r>
    </w:p>
    <w:p w:rsidR="0075577A" w:rsidRDefault="0075577A" w:rsidP="0075577A">
      <w:pPr>
        <w:jc w:val="both"/>
        <w:rPr>
          <w:b/>
          <w:bCs/>
          <w:i/>
          <w:iCs/>
          <w:sz w:val="22"/>
          <w:szCs w:val="22"/>
        </w:rPr>
      </w:pPr>
    </w:p>
    <w:p w:rsidR="0075577A" w:rsidRDefault="0075577A" w:rsidP="0075577A">
      <w:pPr>
        <w:jc w:val="both"/>
        <w:rPr>
          <w:i/>
          <w:iCs/>
          <w:sz w:val="22"/>
          <w:szCs w:val="22"/>
        </w:rPr>
      </w:pPr>
    </w:p>
    <w:p w:rsidR="0075577A" w:rsidRDefault="0075577A" w:rsidP="0075577A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Sporządził: Paweł Wiśniewski</w:t>
      </w:r>
    </w:p>
    <w:p w:rsidR="009B1B2F" w:rsidRPr="009F2087" w:rsidRDefault="009B1B2F" w:rsidP="009E3489">
      <w:pPr>
        <w:rPr>
          <w:szCs w:val="24"/>
        </w:rPr>
      </w:pPr>
    </w:p>
    <w:sectPr w:rsidR="009B1B2F" w:rsidRPr="009F208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F9" w:rsidRDefault="00C74BF9">
      <w:r>
        <w:separator/>
      </w:r>
    </w:p>
  </w:endnote>
  <w:endnote w:type="continuationSeparator" w:id="0">
    <w:p w:rsidR="00C74BF9" w:rsidRDefault="00C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54100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F9" w:rsidRDefault="00C74BF9">
      <w:r>
        <w:separator/>
      </w:r>
    </w:p>
  </w:footnote>
  <w:footnote w:type="continuationSeparator" w:id="0">
    <w:p w:rsidR="00C74BF9" w:rsidRDefault="00C7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7B4B14"/>
    <w:multiLevelType w:val="hybridMultilevel"/>
    <w:tmpl w:val="EEEE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247AC0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66A24"/>
    <w:multiLevelType w:val="hybridMultilevel"/>
    <w:tmpl w:val="2884A5A6"/>
    <w:lvl w:ilvl="0" w:tplc="57A26E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4"/>
  </w:num>
  <w:num w:numId="9">
    <w:abstractNumId w:val="17"/>
  </w:num>
  <w:num w:numId="10">
    <w:abstractNumId w:val="9"/>
  </w:num>
  <w:num w:numId="11">
    <w:abstractNumId w:val="2"/>
  </w:num>
  <w:num w:numId="12">
    <w:abstractNumId w:val="27"/>
  </w:num>
  <w:num w:numId="13">
    <w:abstractNumId w:val="7"/>
  </w:num>
  <w:num w:numId="14">
    <w:abstractNumId w:val="10"/>
  </w:num>
  <w:num w:numId="15">
    <w:abstractNumId w:val="19"/>
  </w:num>
  <w:num w:numId="16">
    <w:abstractNumId w:val="14"/>
  </w:num>
  <w:num w:numId="17">
    <w:abstractNumId w:val="3"/>
  </w:num>
  <w:num w:numId="18">
    <w:abstractNumId w:val="23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26"/>
  </w:num>
  <w:num w:numId="24">
    <w:abstractNumId w:val="25"/>
  </w:num>
  <w:num w:numId="25">
    <w:abstractNumId w:val="8"/>
  </w:num>
  <w:num w:numId="26">
    <w:abstractNumId w:val="11"/>
  </w:num>
  <w:num w:numId="27">
    <w:abstractNumId w:val="15"/>
  </w:num>
  <w:num w:numId="28">
    <w:abstractNumId w:val="2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A4E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368A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28C8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216E4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13E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1005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49EE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77A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7F455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489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A609E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4BF9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7271CB-D8D5-49E5-B9BD-D601CD6D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1C70-D8C8-45DD-882F-E08041D7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24</cp:revision>
  <cp:lastPrinted>2018-03-05T06:36:00Z</cp:lastPrinted>
  <dcterms:created xsi:type="dcterms:W3CDTF">2019-06-13T09:53:00Z</dcterms:created>
  <dcterms:modified xsi:type="dcterms:W3CDTF">2020-09-09T12:38:00Z</dcterms:modified>
</cp:coreProperties>
</file>