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2C0B14AA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2F7700">
        <w:rPr>
          <w:rFonts w:ascii="Arial" w:hAnsi="Arial" w:cs="Arial"/>
          <w:b/>
          <w:sz w:val="20"/>
          <w:szCs w:val="20"/>
        </w:rPr>
        <w:t>6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0B29D9D4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01C94A2A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2F7700" w:rsidRPr="002F770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F7700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„Budowa sieci wodociągowej w Kłodawie  oraz zbiornika wody pitnej w Trąbkach Wielkich"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="007D3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6CDE745F" w:rsidR="00D9165E" w:rsidRP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  <w:r w:rsidRPr="00D93EA8">
        <w:rPr>
          <w:rFonts w:ascii="Calibri" w:hAnsi="Calibri" w:cs="Calibri"/>
          <w:color w:val="FF0000"/>
          <w:sz w:val="20"/>
        </w:rPr>
        <w:t>Podpis elektroniczny</w:t>
      </w:r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38</cp:revision>
  <cp:lastPrinted>2020-12-30T13:12:00Z</cp:lastPrinted>
  <dcterms:created xsi:type="dcterms:W3CDTF">2018-06-25T10:23:00Z</dcterms:created>
  <dcterms:modified xsi:type="dcterms:W3CDTF">2023-04-24T10:48:00Z</dcterms:modified>
</cp:coreProperties>
</file>