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4A408" w14:textId="77777777" w:rsidR="0047632B" w:rsidRPr="0047632B" w:rsidRDefault="0047632B" w:rsidP="0047632B">
      <w:pPr>
        <w:spacing w:after="0" w:line="240" w:lineRule="auto"/>
        <w:jc w:val="center"/>
        <w:rPr>
          <w:rFonts w:cstheme="minorHAnsi"/>
          <w:b/>
          <w:bCs/>
          <w:i/>
          <w:iCs/>
          <w:lang w:bidi="pl-PL"/>
        </w:rPr>
      </w:pPr>
    </w:p>
    <w:p w14:paraId="6C994EE3" w14:textId="72DB0637" w:rsidR="0047632B" w:rsidRDefault="008D1B8A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Załącznik nr 1 do SWZ</w:t>
      </w:r>
    </w:p>
    <w:p w14:paraId="56DC1394" w14:textId="04E12404" w:rsidR="00E00357" w:rsidRDefault="00E97EA8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Szczegółowy </w:t>
      </w:r>
      <w:r w:rsidR="00866CFB">
        <w:rPr>
          <w:b/>
          <w:bCs/>
        </w:rPr>
        <w:t xml:space="preserve">Opis </w:t>
      </w:r>
      <w:r w:rsidR="00E00357">
        <w:rPr>
          <w:b/>
          <w:bCs/>
        </w:rPr>
        <w:t>Zamówienia</w:t>
      </w:r>
    </w:p>
    <w:p w14:paraId="3C8D0F09" w14:textId="759D6245" w:rsidR="00A66DEE" w:rsidRPr="00E00357" w:rsidRDefault="00E00357" w:rsidP="00E00357">
      <w:pPr>
        <w:spacing w:after="0" w:line="240" w:lineRule="auto"/>
        <w:rPr>
          <w:rFonts w:cstheme="minorHAnsi"/>
          <w:b/>
          <w:bCs/>
          <w:i/>
          <w:iCs/>
          <w:sz w:val="20"/>
          <w:szCs w:val="20"/>
          <w:lang w:bidi="pl-PL"/>
        </w:rPr>
      </w:pPr>
      <w:r w:rsidRPr="00E00357">
        <w:rPr>
          <w:rFonts w:cstheme="minorHAnsi"/>
          <w:b/>
          <w:bCs/>
          <w:i/>
          <w:iCs/>
          <w:sz w:val="20"/>
          <w:szCs w:val="20"/>
          <w:lang w:bidi="pl-PL"/>
        </w:rPr>
        <w:t>Dostawa, montaż i rozruch</w:t>
      </w:r>
      <w:r>
        <w:rPr>
          <w:rFonts w:cstheme="minorHAnsi"/>
          <w:b/>
          <w:bCs/>
          <w:i/>
          <w:iCs/>
          <w:sz w:val="20"/>
          <w:szCs w:val="20"/>
          <w:lang w:bidi="pl-PL"/>
        </w:rPr>
        <w:t xml:space="preserve"> -</w:t>
      </w:r>
      <w:r w:rsidR="00866CFB" w:rsidRPr="00E00357">
        <w:rPr>
          <w:b/>
          <w:bCs/>
          <w:sz w:val="20"/>
          <w:szCs w:val="20"/>
        </w:rPr>
        <w:t>Stacja przedmuchu i napowietrzania.</w:t>
      </w:r>
    </w:p>
    <w:p w14:paraId="0A86ACB5" w14:textId="77777777" w:rsidR="00A66DEE" w:rsidRDefault="00866CFB">
      <w:pPr>
        <w:jc w:val="both"/>
      </w:pPr>
      <w:r>
        <w:t>Urządzenie do przedmuchu i napowietrzania rurociągu tłocznego dla przepompowni Trzynik</w:t>
      </w:r>
    </w:p>
    <w:p w14:paraId="6B9C4676" w14:textId="77777777" w:rsidR="00A66DEE" w:rsidRDefault="00866CFB">
      <w:pPr>
        <w:jc w:val="both"/>
      </w:pPr>
      <w:r>
        <w:t xml:space="preserve">Dla przepompowni Trzynik w celu uniknięcia zagniwania ścieków, powstawania korozji siarczanowej i ograniczenia powstawania nieprzyjemnych zapachów w okolicy studni rozprężnej należy zastosować stację do przedmuchiwania oraz napowietrzania rurociągu tłocznego. </w:t>
      </w:r>
    </w:p>
    <w:p w14:paraId="65480B3C" w14:textId="77777777" w:rsidR="00A66DEE" w:rsidRDefault="00866CFB">
      <w:pPr>
        <w:jc w:val="both"/>
      </w:pPr>
      <w:r>
        <w:t xml:space="preserve">Instalacja przedmuchu będzie działała wg dobieranego do aktualnej sytuacji algorytmu pracy – zasada działania oparta jest o dynamiczny i inteligentny moduł obliczeniowy modelujący przepływ powietrza i ścieków w rurociągu tłocznym oraz utrzymujący pompę w zakresie dopuszczalnej pracy na jej charakterystyce. </w:t>
      </w:r>
    </w:p>
    <w:p w14:paraId="17E3EC11" w14:textId="77777777" w:rsidR="00A66DEE" w:rsidRDefault="00866CFB">
      <w:pPr>
        <w:jc w:val="both"/>
      </w:pPr>
      <w:r>
        <w:t xml:space="preserve">Na tej podstawie algorytm sterujący pracą stacji przedmuchu dopasowuje parametry przedmuchu i napowietrzania, tak by ograniczyć emisję odorów w studni rozprężnej oraz aby układ osiągał odpowiednią prędkość płukania we wskazanych w algorytmie problematycznych odcinkach rurociągu tłocznego. Instalacja stacji przedmuchu jest sprzężona z układem sterowania pompowni, dzięki czemu algorytm sterujący, poprzez odpowiednie sterowanie pracą stacji przedmuchu i napowietrzani oraz pracą  pomp w pompowni ścieków, jest w stanie przewidywać miejsca powstawania korków powietrznych oraz sterować pracą układu przepompownia/stacja przedmuchu w sposób, który nie powoduje efektu nadmiernego zapowietrzenia rurociągu tłocznego,  pozwalając na poprawną pracę całego układu po cyklu przedmuchu. </w:t>
      </w:r>
    </w:p>
    <w:p w14:paraId="1DE417E7" w14:textId="77777777" w:rsidR="00A66DEE" w:rsidRDefault="00866CFB">
      <w:pPr>
        <w:jc w:val="both"/>
      </w:pPr>
      <w:r>
        <w:t>Algorytm sterujący w sposób ciągły monitoruje wszystkie parametry pracy stacji przedmuchu, pompowni oraz przewodu tłocznego, wstrzymując pracę stacji przedmuchu w sytuacjach, gdy jej działanie nie jest niezbędne lub mogło by negatywnie wpłynąć na podstawową funkcję pompowni tj. zapewnienie ciągłego obioru dopływających ścieków.</w:t>
      </w:r>
    </w:p>
    <w:p w14:paraId="5275B695" w14:textId="77777777" w:rsidR="00A66DEE" w:rsidRDefault="00866CFB">
      <w:pPr>
        <w:jc w:val="both"/>
      </w:pPr>
      <w:r>
        <w:t>Od dostawcy technologii wymaga się wykonania doboru wszystkich parametrów stacji przedmuchu i napowietrzania oraz przeprowadzenia symulacji pracy całego układu w programie wykorzystującym dedykowany model hydraulicznego przepływu ścieków i powietrza w przewodzie tłocznym. Wykonanie obliczeń i symulacji jest konieczne aby potwierdzić i zagwarantować możliwość współpracy stacji przedmuchu z istniejącą przepompownią bez konieczności wymiany istniejących pomp oraz ryzyka pracy pomp poza dopuszczalnym zakresem charakterystyki. Dobór urządzenia i sposób jego pracy musi zagwarantować również brak konieczności zwiększenia mocy przyłącza energetycznego pompowni, z którego korzystać będzie stacja przedmuchu oraz minimalizację zużycia energii elektrycznej całego układu.</w:t>
      </w:r>
    </w:p>
    <w:p w14:paraId="08EA5EC7" w14:textId="77777777" w:rsidR="00A66DEE" w:rsidRDefault="00866CFB">
      <w:pPr>
        <w:jc w:val="both"/>
      </w:pPr>
      <w:r>
        <w:t>Wyniki obliczeń i symulacji pracy stacji przedmuchu (w postaci wizualizacji pracy układu stacja przedmuchu/przepompownia/przewód tłoczny) będą przekazane do akceptacji Projektanta/Zamawiającego i będą warunkować akceptację Dostawcy technologii stacji przedmuchu i napowietrzania na etapie realizacji.</w:t>
      </w:r>
    </w:p>
    <w:p w14:paraId="2242BA4F" w14:textId="77777777" w:rsidR="00A66DEE" w:rsidRDefault="00866CFB">
      <w:pPr>
        <w:jc w:val="both"/>
      </w:pPr>
      <w:r>
        <w:t>Wymaga się aby Dostawca technologii zagwarantował efekt w postaci redukcji średniego ładunku siarkowodoru emitowanego w studni rozprężnej o min. 80%.</w:t>
      </w:r>
    </w:p>
    <w:p w14:paraId="74F21D25" w14:textId="77777777" w:rsidR="00A66DEE" w:rsidRDefault="00866CFB">
      <w:pPr>
        <w:jc w:val="both"/>
      </w:pPr>
      <w:r>
        <w:t>Wymaga się, aby stacja przedmuchu i napowietrzania mieściła się w wygłuszonym kontenerze zlokalizowanym na terenie przepompowni, którego wymiary pozawalają na swobodną obsługę i serwisowanie zamontowanych urządzeń i instalacji z wnętrza kontenera.</w:t>
      </w:r>
    </w:p>
    <w:p w14:paraId="66E045DB" w14:textId="77777777" w:rsidR="00A66DEE" w:rsidRDefault="00A66DEE" w:rsidP="00382110">
      <w:pPr>
        <w:rPr>
          <w:b/>
          <w:bCs/>
        </w:rPr>
      </w:pPr>
    </w:p>
    <w:p w14:paraId="44E4E2FC" w14:textId="77777777" w:rsidR="00A66DEE" w:rsidRDefault="00866CFB">
      <w:pPr>
        <w:rPr>
          <w:b/>
          <w:bCs/>
        </w:rPr>
      </w:pPr>
      <w:r>
        <w:rPr>
          <w:b/>
          <w:bCs/>
        </w:rPr>
        <w:t>Dane techniczne stacji przedmuchu i napowietrzania:</w:t>
      </w:r>
    </w:p>
    <w:p w14:paraId="1BE4C420" w14:textId="77777777" w:rsidR="00A66DEE" w:rsidRDefault="00866CFB">
      <w:pPr>
        <w:rPr>
          <w:b/>
          <w:bCs/>
        </w:rPr>
      </w:pPr>
      <w:r>
        <w:rPr>
          <w:b/>
          <w:bCs/>
        </w:rPr>
        <w:t>Wymiary kontenera:</w:t>
      </w:r>
    </w:p>
    <w:p w14:paraId="3244CCA7" w14:textId="77777777" w:rsidR="00A66DEE" w:rsidRDefault="00866CFB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</w:pPr>
      <w:r>
        <w:t>szerokość zewnętrzna  min. 1400mm</w:t>
      </w:r>
    </w:p>
    <w:p w14:paraId="146BF205" w14:textId="77777777" w:rsidR="00A66DEE" w:rsidRDefault="00866CFB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</w:pPr>
      <w:r>
        <w:t>długość zewnętrzna      min. 1600mm</w:t>
      </w:r>
    </w:p>
    <w:p w14:paraId="0C306B02" w14:textId="77777777" w:rsidR="00A66DEE" w:rsidRDefault="00866CFB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</w:pPr>
      <w:r>
        <w:lastRenderedPageBreak/>
        <w:t>wysokość zewnętrzna  min. 2400mm</w:t>
      </w:r>
    </w:p>
    <w:p w14:paraId="3885E041" w14:textId="77777777" w:rsidR="00A66DEE" w:rsidRDefault="00866CFB">
      <w:pPr>
        <w:tabs>
          <w:tab w:val="left" w:pos="426"/>
        </w:tabs>
        <w:spacing w:line="360" w:lineRule="auto"/>
        <w:rPr>
          <w:b/>
        </w:rPr>
      </w:pPr>
      <w:r>
        <w:br/>
      </w:r>
      <w:r>
        <w:rPr>
          <w:b/>
        </w:rPr>
        <w:t>Konstrukcja ramy</w:t>
      </w:r>
      <w:r>
        <w:rPr>
          <w:b/>
        </w:rPr>
        <w:br/>
      </w:r>
      <w:r>
        <w:t>Stalowe profile słupków oraz profile podłużnic dolnych i górnych zimnogięte z blachy gr. 4mm</w:t>
      </w:r>
    </w:p>
    <w:p w14:paraId="02F8DDC2" w14:textId="77777777" w:rsidR="00A66DEE" w:rsidRDefault="00866CFB">
      <w:pPr>
        <w:tabs>
          <w:tab w:val="left" w:pos="426"/>
        </w:tabs>
        <w:spacing w:line="360" w:lineRule="auto"/>
        <w:jc w:val="both"/>
        <w:rPr>
          <w:b/>
        </w:rPr>
      </w:pPr>
      <w:r>
        <w:rPr>
          <w:b/>
        </w:rPr>
        <w:t>Podłoga</w:t>
      </w:r>
      <w:r>
        <w:rPr>
          <w:b/>
        </w:rPr>
        <w:br/>
      </w:r>
      <w:r>
        <w:t xml:space="preserve">Podłoga wykonana z profili stalowych zimnogiętych i malowanej blachy stalowej płaskiej o grubości min. 4mm, wytłumiona wełną mineralną o grubości min. 120mm. Poszycie dolne wykończone ocynkowaną blachą o grubości min. 0,5mm. </w:t>
      </w:r>
    </w:p>
    <w:p w14:paraId="205FFB2C" w14:textId="77777777" w:rsidR="00A66DEE" w:rsidRDefault="00866CFB">
      <w:pPr>
        <w:tabs>
          <w:tab w:val="left" w:pos="426"/>
        </w:tabs>
        <w:spacing w:line="360" w:lineRule="auto"/>
        <w:rPr>
          <w:b/>
        </w:rPr>
      </w:pPr>
      <w:r>
        <w:rPr>
          <w:b/>
        </w:rPr>
        <w:t>Stropodach jednospadowy:</w:t>
      </w:r>
      <w:r>
        <w:rPr>
          <w:b/>
        </w:rPr>
        <w:br/>
      </w:r>
      <w:r>
        <w:t>Warstwowy pokryty od zewnątrz:</w:t>
      </w:r>
    </w:p>
    <w:p w14:paraId="1D339A76" w14:textId="77777777" w:rsidR="00A66DEE" w:rsidRDefault="00866CFB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jc w:val="both"/>
      </w:pPr>
      <w:r>
        <w:t>poszycie zewnętrzne: blacha profilowana min. 1,5mm – spawana do ramy</w:t>
      </w:r>
    </w:p>
    <w:p w14:paraId="5FB95251" w14:textId="77777777" w:rsidR="00A66DEE" w:rsidRDefault="00866CFB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jc w:val="both"/>
      </w:pPr>
      <w:r>
        <w:t xml:space="preserve">panel akustyczny o grubości min. 100mm: płyta warstwowa z rdzeniem z twardej wełny mineralnej i okładziny z blachy pokrytej powłokami ochronnymi </w:t>
      </w:r>
    </w:p>
    <w:p w14:paraId="6397E921" w14:textId="77777777" w:rsidR="00A66DEE" w:rsidRDefault="00866CFB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jc w:val="both"/>
      </w:pPr>
      <w:r>
        <w:t>rynny wzdłużne odprowadzające wodę do rur spustowych d=75 – umieszczone w słupkach kontenera</w:t>
      </w:r>
    </w:p>
    <w:p w14:paraId="55D792EB" w14:textId="77777777" w:rsidR="00A66DEE" w:rsidRDefault="00866CFB">
      <w:pPr>
        <w:tabs>
          <w:tab w:val="left" w:pos="426"/>
        </w:tabs>
        <w:spacing w:line="360" w:lineRule="auto"/>
        <w:jc w:val="both"/>
      </w:pPr>
      <w:r>
        <w:t>Właściwości stropodachu:</w:t>
      </w:r>
    </w:p>
    <w:p w14:paraId="4A2C2BD8" w14:textId="77777777" w:rsidR="00A66DEE" w:rsidRDefault="00866CFB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jc w:val="both"/>
      </w:pPr>
      <w:r>
        <w:t>współczynnik izolacyjności akustycznej nie gorszy niż Rw=32dB</w:t>
      </w:r>
    </w:p>
    <w:p w14:paraId="1B9ADB95" w14:textId="77777777" w:rsidR="00A66DEE" w:rsidRDefault="00866CFB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jc w:val="both"/>
      </w:pPr>
      <w:r>
        <w:t>współczynnik przenikalności cieplnej nie gorszy niż U</w:t>
      </w:r>
      <w:r>
        <w:rPr>
          <w:vertAlign w:val="subscript"/>
        </w:rPr>
        <w:t>c</w:t>
      </w:r>
      <w:r>
        <w:t>=0,41 Wm</w:t>
      </w:r>
      <w:r>
        <w:rPr>
          <w:vertAlign w:val="superscript"/>
        </w:rPr>
        <w:t>2</w:t>
      </w:r>
      <w:r>
        <w:t>K</w:t>
      </w:r>
      <w:r>
        <w:rPr>
          <w:vertAlign w:val="superscript"/>
        </w:rPr>
        <w:t>-1</w:t>
      </w:r>
    </w:p>
    <w:p w14:paraId="1EE69C00" w14:textId="77777777" w:rsidR="00A66DEE" w:rsidRDefault="00866CFB">
      <w:pPr>
        <w:tabs>
          <w:tab w:val="left" w:pos="426"/>
        </w:tabs>
        <w:spacing w:line="360" w:lineRule="auto"/>
        <w:rPr>
          <w:b/>
        </w:rPr>
      </w:pPr>
      <w:r>
        <w:rPr>
          <w:b/>
        </w:rPr>
        <w:t xml:space="preserve">Ściany zewnętrzne/wewnętrzne </w:t>
      </w:r>
      <w:r>
        <w:rPr>
          <w:b/>
        </w:rPr>
        <w:br/>
      </w:r>
      <w:r>
        <w:t>Wykonane z płyt warstwowych (blacha gładka) w systemie „sandwich”</w:t>
      </w:r>
    </w:p>
    <w:p w14:paraId="0FFB80AC" w14:textId="77777777" w:rsidR="00A66DEE" w:rsidRDefault="00866CFB" w:rsidP="00382110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jc w:val="both"/>
      </w:pPr>
      <w:r>
        <w:t>elewacja zewnętrzna – blacha ocynkowana lakierowana</w:t>
      </w:r>
    </w:p>
    <w:p w14:paraId="3E8403B4" w14:textId="77777777" w:rsidR="00A66DEE" w:rsidRDefault="00866CFB" w:rsidP="00382110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jc w:val="both"/>
      </w:pPr>
      <w:r>
        <w:t>izolacja – twarda wełna mineralna o grubości min. 100mm</w:t>
      </w:r>
    </w:p>
    <w:p w14:paraId="698ED339" w14:textId="77777777" w:rsidR="00A66DEE" w:rsidRDefault="00866CFB" w:rsidP="00382110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jc w:val="both"/>
      </w:pPr>
      <w:r>
        <w:t>elewacja wewnętrzna – perforowana blacha ocynkowana lakierowana</w:t>
      </w:r>
    </w:p>
    <w:p w14:paraId="274A32CF" w14:textId="77777777" w:rsidR="00A66DEE" w:rsidRDefault="00866CFB">
      <w:pPr>
        <w:tabs>
          <w:tab w:val="left" w:pos="426"/>
        </w:tabs>
        <w:spacing w:line="360" w:lineRule="auto"/>
        <w:jc w:val="both"/>
      </w:pPr>
      <w:r>
        <w:t>Właściwości stropodachu:</w:t>
      </w:r>
    </w:p>
    <w:p w14:paraId="648C07C3" w14:textId="77777777" w:rsidR="00A66DEE" w:rsidRDefault="00866CFB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jc w:val="both"/>
      </w:pPr>
      <w:r>
        <w:t>współczynnik izolacyjności akustycznej nie gorszy niż Rw=32dB</w:t>
      </w:r>
    </w:p>
    <w:p w14:paraId="6B12B880" w14:textId="77777777" w:rsidR="00A66DEE" w:rsidRDefault="00866CFB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jc w:val="both"/>
      </w:pPr>
      <w:r>
        <w:t>współczynnik przenikalności cieplnej  nie gorszy niż U</w:t>
      </w:r>
      <w:r>
        <w:rPr>
          <w:vertAlign w:val="subscript"/>
        </w:rPr>
        <w:t>c</w:t>
      </w:r>
      <w:r>
        <w:t>=0,41 Wm</w:t>
      </w:r>
      <w:r>
        <w:rPr>
          <w:vertAlign w:val="superscript"/>
        </w:rPr>
        <w:t>2</w:t>
      </w:r>
      <w:r>
        <w:t>K</w:t>
      </w:r>
      <w:r>
        <w:rPr>
          <w:vertAlign w:val="superscript"/>
        </w:rPr>
        <w:t>-1</w:t>
      </w:r>
    </w:p>
    <w:p w14:paraId="483CFF95" w14:textId="77777777" w:rsidR="00A66DEE" w:rsidRDefault="00A66DEE">
      <w:pPr>
        <w:pStyle w:val="Akapitzlist"/>
        <w:tabs>
          <w:tab w:val="left" w:pos="426"/>
        </w:tabs>
        <w:spacing w:line="360" w:lineRule="auto"/>
        <w:jc w:val="both"/>
      </w:pPr>
    </w:p>
    <w:p w14:paraId="6725E559" w14:textId="77777777" w:rsidR="00A66DEE" w:rsidRDefault="00A66DEE">
      <w:pPr>
        <w:tabs>
          <w:tab w:val="left" w:pos="426"/>
        </w:tabs>
        <w:spacing w:line="360" w:lineRule="auto"/>
        <w:jc w:val="both"/>
        <w:rPr>
          <w:b/>
        </w:rPr>
      </w:pPr>
    </w:p>
    <w:p w14:paraId="33DC6897" w14:textId="77777777" w:rsidR="00A66DEE" w:rsidRDefault="00866CFB">
      <w:pPr>
        <w:tabs>
          <w:tab w:val="left" w:pos="426"/>
        </w:tabs>
        <w:spacing w:line="360" w:lineRule="auto"/>
        <w:jc w:val="both"/>
        <w:rPr>
          <w:b/>
        </w:rPr>
      </w:pPr>
      <w:r>
        <w:rPr>
          <w:b/>
        </w:rPr>
        <w:t>Drzwi zewnętrzne</w:t>
      </w:r>
    </w:p>
    <w:p w14:paraId="29A539DB" w14:textId="77777777" w:rsidR="00A66DEE" w:rsidRDefault="00866CFB">
      <w:pPr>
        <w:tabs>
          <w:tab w:val="left" w:pos="426"/>
        </w:tabs>
        <w:spacing w:line="360" w:lineRule="auto"/>
        <w:jc w:val="both"/>
      </w:pPr>
      <w:r>
        <w:t>Izolowane z zawiasem sprężynowym, z zamkiem z wkładką patentową o wymiarze min. 1000x2000mm</w:t>
      </w:r>
    </w:p>
    <w:p w14:paraId="42A94799" w14:textId="77777777" w:rsidR="00A66DEE" w:rsidRDefault="00866CFB">
      <w:pPr>
        <w:rPr>
          <w:b/>
          <w:bCs/>
        </w:rPr>
      </w:pPr>
      <w:r>
        <w:rPr>
          <w:b/>
        </w:rPr>
        <w:t>Instalacje znajdujące się w kontenerze stacji przedmuchu i napowietrzania</w:t>
      </w:r>
    </w:p>
    <w:p w14:paraId="732C8588" w14:textId="77777777" w:rsidR="00A66DEE" w:rsidRDefault="00866CFB" w:rsidP="00382110">
      <w:pPr>
        <w:pStyle w:val="Akapitzlist"/>
        <w:numPr>
          <w:ilvl w:val="0"/>
          <w:numId w:val="6"/>
        </w:numPr>
        <w:tabs>
          <w:tab w:val="left" w:pos="426"/>
        </w:tabs>
        <w:spacing w:after="120" w:line="360" w:lineRule="auto"/>
        <w:jc w:val="both"/>
      </w:pPr>
      <w:r>
        <w:t>Elektryczna – gniazdo 230V, 16A, IP66 (min. 2 szt.)</w:t>
      </w:r>
    </w:p>
    <w:p w14:paraId="0E0BA127" w14:textId="77777777" w:rsidR="00A66DEE" w:rsidRDefault="00866CFB" w:rsidP="00382110">
      <w:pPr>
        <w:pStyle w:val="Akapitzlist"/>
        <w:numPr>
          <w:ilvl w:val="0"/>
          <w:numId w:val="6"/>
        </w:numPr>
        <w:tabs>
          <w:tab w:val="left" w:pos="426"/>
        </w:tabs>
        <w:spacing w:after="120" w:line="360" w:lineRule="auto"/>
        <w:jc w:val="both"/>
      </w:pPr>
      <w:r>
        <w:t>Oświetlenie – lampy (min. 1 szt.)</w:t>
      </w:r>
    </w:p>
    <w:p w14:paraId="6F321AA0" w14:textId="77777777" w:rsidR="00A66DEE" w:rsidRDefault="00866CFB" w:rsidP="00382110">
      <w:pPr>
        <w:pStyle w:val="Akapitzlist"/>
        <w:numPr>
          <w:ilvl w:val="0"/>
          <w:numId w:val="6"/>
        </w:numPr>
        <w:tabs>
          <w:tab w:val="left" w:pos="426"/>
        </w:tabs>
        <w:spacing w:after="120" w:line="360" w:lineRule="auto"/>
        <w:jc w:val="both"/>
      </w:pPr>
      <w:r>
        <w:t>Wentylacyjna:</w:t>
      </w:r>
    </w:p>
    <w:p w14:paraId="70345493" w14:textId="77777777" w:rsidR="00A66DEE" w:rsidRDefault="00866CFB" w:rsidP="00382110">
      <w:pPr>
        <w:pStyle w:val="Akapitzlist"/>
        <w:numPr>
          <w:ilvl w:val="0"/>
          <w:numId w:val="7"/>
        </w:numPr>
        <w:tabs>
          <w:tab w:val="left" w:pos="426"/>
        </w:tabs>
        <w:spacing w:after="120" w:line="360" w:lineRule="auto"/>
        <w:jc w:val="both"/>
      </w:pPr>
      <w:r>
        <w:t>Grawitacyjna – czerpnie powietrza ( 1 szt.), wyrzutnia powietrza ( 1 szt.)</w:t>
      </w:r>
    </w:p>
    <w:p w14:paraId="229D6D56" w14:textId="77777777" w:rsidR="00A66DEE" w:rsidRDefault="00866CFB" w:rsidP="00382110">
      <w:pPr>
        <w:pStyle w:val="Akapitzlist"/>
        <w:numPr>
          <w:ilvl w:val="0"/>
          <w:numId w:val="7"/>
        </w:numPr>
        <w:tabs>
          <w:tab w:val="left" w:pos="426"/>
        </w:tabs>
        <w:spacing w:after="120" w:line="360" w:lineRule="auto"/>
        <w:jc w:val="both"/>
      </w:pPr>
      <w:r>
        <w:lastRenderedPageBreak/>
        <w:t>Mechaniczna – wentylator przemysłowy montowany na ścianie kontenera.</w:t>
      </w:r>
    </w:p>
    <w:p w14:paraId="7C215C9D" w14:textId="5E255156" w:rsidR="00A66DEE" w:rsidRPr="00382110" w:rsidRDefault="00866CFB" w:rsidP="00382110">
      <w:pPr>
        <w:pStyle w:val="Akapitzlist"/>
        <w:numPr>
          <w:ilvl w:val="0"/>
          <w:numId w:val="8"/>
        </w:numPr>
        <w:tabs>
          <w:tab w:val="left" w:pos="426"/>
        </w:tabs>
        <w:spacing w:after="120" w:line="360" w:lineRule="auto"/>
        <w:jc w:val="both"/>
      </w:pPr>
      <w:r>
        <w:t>Grzewcza – nagrzewnica elektryczna z termostatem</w:t>
      </w:r>
    </w:p>
    <w:p w14:paraId="26EAE59A" w14:textId="77777777" w:rsidR="00A66DEE" w:rsidRDefault="00866CFB">
      <w:pPr>
        <w:rPr>
          <w:b/>
          <w:bCs/>
        </w:rPr>
      </w:pPr>
      <w:r>
        <w:rPr>
          <w:b/>
          <w:bCs/>
        </w:rPr>
        <w:t>Urządzenia znajdujące się w kontenerze stacji przedmuchu i napowietrzania</w:t>
      </w:r>
    </w:p>
    <w:p w14:paraId="1C771472" w14:textId="77777777" w:rsidR="00A66DEE" w:rsidRDefault="00866CFB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jc w:val="both"/>
      </w:pPr>
      <w:r>
        <w:t xml:space="preserve">Sprężarka </w:t>
      </w:r>
    </w:p>
    <w:p w14:paraId="1F58288A" w14:textId="77777777" w:rsidR="00A66DEE" w:rsidRDefault="00866CFB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jc w:val="both"/>
      </w:pPr>
      <w:r>
        <w:t>Zbiornik ciśnieniowy poziomy</w:t>
      </w:r>
    </w:p>
    <w:p w14:paraId="141808C8" w14:textId="77777777" w:rsidR="00A66DEE" w:rsidRDefault="00866CFB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jc w:val="both"/>
      </w:pPr>
      <w:r>
        <w:t>Szafa sterująca</w:t>
      </w:r>
    </w:p>
    <w:p w14:paraId="7915A18A" w14:textId="77777777" w:rsidR="00A66DEE" w:rsidRDefault="00866CFB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jc w:val="both"/>
      </w:pPr>
      <w:r>
        <w:t>Nagrzewnica</w:t>
      </w:r>
    </w:p>
    <w:p w14:paraId="20BD0013" w14:textId="77777777" w:rsidR="00A66DEE" w:rsidRDefault="00866CFB">
      <w:pPr>
        <w:jc w:val="both"/>
        <w:rPr>
          <w:b/>
          <w:bCs/>
        </w:rPr>
      </w:pPr>
      <w:r>
        <w:rPr>
          <w:b/>
          <w:bCs/>
        </w:rPr>
        <w:t xml:space="preserve">Maksymalna moc zainstalowana dla całego układu stacji przedmuchu i napowietrzania </w:t>
      </w:r>
    </w:p>
    <w:p w14:paraId="0DB8A46F" w14:textId="77777777" w:rsidR="00A66DEE" w:rsidRDefault="00866CFB">
      <w:pPr>
        <w:jc w:val="both"/>
      </w:pPr>
      <w:r>
        <w:t>Maksymalna zainstalowana moc stacji przedmuch i napowietrzania nie może przekraczać 16,5 kW</w:t>
      </w:r>
    </w:p>
    <w:p w14:paraId="7F88ED65" w14:textId="77777777" w:rsidR="00A66DEE" w:rsidRDefault="00A66DEE">
      <w:pPr>
        <w:jc w:val="both"/>
      </w:pPr>
    </w:p>
    <w:p w14:paraId="430828F0" w14:textId="77777777" w:rsidR="00A66DEE" w:rsidRDefault="00866CFB">
      <w:pPr>
        <w:rPr>
          <w:b/>
          <w:bCs/>
        </w:rPr>
      </w:pPr>
      <w:r>
        <w:rPr>
          <w:b/>
          <w:bCs/>
        </w:rPr>
        <w:t>Średnica i miejsce włączenia przewodu sprężonego powietrza</w:t>
      </w:r>
    </w:p>
    <w:p w14:paraId="25374A09" w14:textId="77777777" w:rsidR="0047632B" w:rsidRDefault="00866CFB">
      <w:pPr>
        <w:ind w:left="360"/>
      </w:pPr>
      <w:r>
        <w:t xml:space="preserve">Sprężone powietrze zostanie doprowadzone rurą min PEHD100 PN16 SDR11, o średnicy i lokalizacji włączenia do rurociągu tłocznego dobranej przez dostawcę technologii. </w:t>
      </w:r>
    </w:p>
    <w:p w14:paraId="0DFF8622" w14:textId="77777777" w:rsidR="000B037C" w:rsidRDefault="000B037C">
      <w:pPr>
        <w:ind w:left="360"/>
      </w:pPr>
    </w:p>
    <w:p w14:paraId="44A6CEAB" w14:textId="103A77ED" w:rsidR="00866CFB" w:rsidRDefault="00866CFB" w:rsidP="00382110">
      <w:pPr>
        <w:spacing w:after="120"/>
      </w:pPr>
      <w:r>
        <w:t>Prace należy prowadzić w sposób nie powodujący przerwy w pracy przepompowni.</w:t>
      </w:r>
    </w:p>
    <w:p w14:paraId="69877A6E" w14:textId="073D9E02" w:rsidR="000B037C" w:rsidRDefault="000B037C" w:rsidP="00382110">
      <w:pPr>
        <w:spacing w:after="120"/>
      </w:pPr>
      <w:r>
        <w:t>Wykonawca przeprowadzi szkolenie personelu w zakresie obsługi.</w:t>
      </w:r>
    </w:p>
    <w:p w14:paraId="1ECA239C" w14:textId="1D13B7F2" w:rsidR="000B037C" w:rsidRPr="00313B68" w:rsidRDefault="000B037C" w:rsidP="00382110">
      <w:pPr>
        <w:pStyle w:val="Normalny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313B68">
        <w:rPr>
          <w:rFonts w:asciiTheme="minorHAnsi" w:hAnsiTheme="minorHAnsi"/>
          <w:sz w:val="22"/>
          <w:szCs w:val="22"/>
        </w:rPr>
        <w:t>Wykonawca udzieli gwarancji na dostarczone urządzenie – minimalny okres gwarancji 2 lata</w:t>
      </w:r>
      <w:r w:rsidR="00382110">
        <w:rPr>
          <w:rFonts w:asciiTheme="minorHAnsi" w:hAnsiTheme="minorHAnsi"/>
          <w:sz w:val="22"/>
          <w:szCs w:val="22"/>
        </w:rPr>
        <w:t>.</w:t>
      </w:r>
    </w:p>
    <w:p w14:paraId="4D48E7BA" w14:textId="77777777" w:rsidR="000B037C" w:rsidRDefault="000B037C" w:rsidP="00382110">
      <w:pPr>
        <w:spacing w:after="120"/>
      </w:pPr>
    </w:p>
    <w:p w14:paraId="2B1752BC" w14:textId="15505071" w:rsidR="00A66DEE" w:rsidRDefault="0047632B" w:rsidP="0047632B">
      <w:r>
        <w:rPr>
          <w:b/>
          <w:bCs/>
        </w:rPr>
        <w:t>Termin wykonania zamówienia: 31</w:t>
      </w:r>
      <w:bookmarkStart w:id="0" w:name="_GoBack"/>
      <w:bookmarkEnd w:id="0"/>
      <w:r>
        <w:rPr>
          <w:b/>
          <w:bCs/>
        </w:rPr>
        <w:t>.12.2024 r.</w:t>
      </w:r>
      <w:r w:rsidR="00866CFB">
        <w:br/>
      </w:r>
    </w:p>
    <w:p w14:paraId="7157664E" w14:textId="3D2E8194" w:rsidR="00873629" w:rsidRPr="00873629" w:rsidRDefault="00873629" w:rsidP="00873629">
      <w:pPr>
        <w:tabs>
          <w:tab w:val="left" w:pos="360"/>
        </w:tabs>
        <w:suppressAutoHyphens w:val="0"/>
        <w:spacing w:line="276" w:lineRule="auto"/>
        <w:jc w:val="both"/>
        <w:rPr>
          <w:rFonts w:cs="Arial"/>
          <w:snapToGrid w:val="0"/>
        </w:rPr>
      </w:pPr>
      <w:r w:rsidRPr="00873629">
        <w:rPr>
          <w:rFonts w:cs="Arial"/>
          <w:snapToGrid w:val="0"/>
        </w:rPr>
        <w:t>Do kontaktu,</w:t>
      </w:r>
      <w:r w:rsidRPr="00873629">
        <w:rPr>
          <w:rFonts w:cs="Arial"/>
          <w:snapToGrid w:val="0"/>
        </w:rPr>
        <w:t xml:space="preserve">Pani Marek Zieniuk ,  Kier. Dz. DEG  e-mail: </w:t>
      </w:r>
      <w:r w:rsidRPr="00873629">
        <w:rPr>
          <w:rFonts w:cs="Arial"/>
        </w:rPr>
        <w:t>marek.zienium@mwik.kolobrzeg.pl</w:t>
      </w:r>
    </w:p>
    <w:p w14:paraId="38CDBE14" w14:textId="77777777" w:rsidR="00A66DEE" w:rsidRPr="00873629" w:rsidRDefault="00A66DEE">
      <w:pPr>
        <w:jc w:val="both"/>
        <w:rPr>
          <w:sz w:val="24"/>
          <w:szCs w:val="24"/>
        </w:rPr>
      </w:pPr>
    </w:p>
    <w:sectPr w:rsidR="00A66DEE" w:rsidRPr="00873629" w:rsidSect="00382110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03F5"/>
    <w:multiLevelType w:val="multilevel"/>
    <w:tmpl w:val="F2E002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686950"/>
    <w:multiLevelType w:val="multilevel"/>
    <w:tmpl w:val="D20EDE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6017F3"/>
    <w:multiLevelType w:val="multilevel"/>
    <w:tmpl w:val="EDB02D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388177D"/>
    <w:multiLevelType w:val="multilevel"/>
    <w:tmpl w:val="BA6E95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7AF7380"/>
    <w:multiLevelType w:val="multilevel"/>
    <w:tmpl w:val="9692C5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BF90DBE"/>
    <w:multiLevelType w:val="multilevel"/>
    <w:tmpl w:val="EF0AD5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C704B48"/>
    <w:multiLevelType w:val="multilevel"/>
    <w:tmpl w:val="94DC63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70B3946"/>
    <w:multiLevelType w:val="hybridMultilevel"/>
    <w:tmpl w:val="DF66C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5076E"/>
    <w:multiLevelType w:val="multilevel"/>
    <w:tmpl w:val="7FF0AC6A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B251EB6"/>
    <w:multiLevelType w:val="multilevel"/>
    <w:tmpl w:val="DFF41D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EE"/>
    <w:rsid w:val="000B037C"/>
    <w:rsid w:val="00382110"/>
    <w:rsid w:val="0047632B"/>
    <w:rsid w:val="00866CFB"/>
    <w:rsid w:val="00873629"/>
    <w:rsid w:val="008D1B8A"/>
    <w:rsid w:val="00A66DEE"/>
    <w:rsid w:val="00CD0FC8"/>
    <w:rsid w:val="00E00357"/>
    <w:rsid w:val="00E97EA8"/>
    <w:rsid w:val="00FC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236B"/>
  <w15:docId w15:val="{3FFBDAF4-4385-4991-9B10-04A7B920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8D68B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A413E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0B03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6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756C14F6A3CD4795E0EF3BED5C717F" ma:contentTypeVersion="11" ma:contentTypeDescription="Utwórz nowy dokument." ma:contentTypeScope="" ma:versionID="b81c28308e46c71cd7b34e074cb2bfd7">
  <xsd:schema xmlns:xsd="http://www.w3.org/2001/XMLSchema" xmlns:xs="http://www.w3.org/2001/XMLSchema" xmlns:p="http://schemas.microsoft.com/office/2006/metadata/properties" xmlns:ns3="3cb6fa72-49e5-4c91-a864-e6fef3e55e93" xmlns:ns4="cdfb7ab2-a062-4838-bcb8-7024a3d0b1be" targetNamespace="http://schemas.microsoft.com/office/2006/metadata/properties" ma:root="true" ma:fieldsID="fe0e19fd7d77d81084723cd7380ea35d" ns3:_="" ns4:_="">
    <xsd:import namespace="3cb6fa72-49e5-4c91-a864-e6fef3e55e93"/>
    <xsd:import namespace="cdfb7ab2-a062-4838-bcb8-7024a3d0b1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6fa72-49e5-4c91-a864-e6fef3e55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b7ab2-a062-4838-bcb8-7024a3d0b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F3E19D-A2E6-49C9-B44B-DFE725BD8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6C261B-F4D2-4B07-A0BA-9B9D650F1A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5969CC-D383-4650-90C5-16477F9C7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6fa72-49e5-4c91-a864-e6fef3e55e93"/>
    <ds:schemaRef ds:uri="cdfb7ab2-a062-4838-bcb8-7024a3d0b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905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Lisiecki</dc:creator>
  <dc:description/>
  <cp:lastModifiedBy>Janusz</cp:lastModifiedBy>
  <cp:revision>13</cp:revision>
  <dcterms:created xsi:type="dcterms:W3CDTF">2020-03-03T10:08:00Z</dcterms:created>
  <dcterms:modified xsi:type="dcterms:W3CDTF">2024-10-28T11:19:00Z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0x0101006C756C14F6A3CD4795E0EF3BED5C717F</vt:lpwstr>
  </property>
</Properties>
</file>