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C" w:rsidRPr="00EE0AAD" w:rsidRDefault="00D041CC" w:rsidP="00D041CC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D041CC" w:rsidRPr="00E37133" w:rsidRDefault="00D041CC" w:rsidP="00D041CC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Zamawiający zaleca zapisanie dokumentu w formacie PDF</w:t>
      </w:r>
      <w:r w:rsidRPr="00E37133">
        <w:rPr>
          <w:rFonts w:asciiTheme="majorHAnsi" w:eastAsia="Arial" w:hAnsiTheme="majorHAnsi" w:cs="Arial"/>
          <w:b/>
          <w:i/>
          <w:kern w:val="2"/>
          <w:lang w:eastAsia="zh-CN" w:bidi="hi-IN"/>
        </w:rPr>
        <w:t>.</w:t>
      </w:r>
    </w:p>
    <w:p w:rsidR="00D041CC" w:rsidRPr="00E37133" w:rsidRDefault="00D041CC" w:rsidP="00D041CC">
      <w:pPr>
        <w:jc w:val="both"/>
        <w:rPr>
          <w:rFonts w:asciiTheme="majorHAnsi" w:hAnsiTheme="majorHAnsi" w:cs="Arial"/>
          <w:b/>
          <w:spacing w:val="20"/>
          <w:sz w:val="24"/>
        </w:rPr>
      </w:pPr>
    </w:p>
    <w:p w:rsidR="00D041CC" w:rsidRPr="00E37133" w:rsidRDefault="00D041CC" w:rsidP="007E1681">
      <w:pPr>
        <w:jc w:val="right"/>
        <w:rPr>
          <w:rFonts w:asciiTheme="majorHAnsi" w:hAnsiTheme="majorHAnsi" w:cs="Arial"/>
          <w:b/>
          <w:spacing w:val="20"/>
          <w:sz w:val="24"/>
        </w:rPr>
      </w:pPr>
    </w:p>
    <w:p w:rsidR="00B91DC7" w:rsidRPr="00E37133" w:rsidRDefault="00B91DC7" w:rsidP="007E1681">
      <w:pPr>
        <w:jc w:val="right"/>
        <w:rPr>
          <w:rFonts w:asciiTheme="majorHAnsi" w:hAnsiTheme="majorHAnsi" w:cs="Arial"/>
          <w:b/>
          <w:spacing w:val="20"/>
          <w:sz w:val="24"/>
        </w:rPr>
      </w:pPr>
      <w:r w:rsidRPr="00E37133">
        <w:rPr>
          <w:rFonts w:asciiTheme="majorHAnsi" w:hAnsiTheme="majorHAnsi" w:cs="Arial"/>
          <w:b/>
          <w:spacing w:val="20"/>
          <w:sz w:val="24"/>
        </w:rPr>
        <w:t>ZAŁĄCZNIK NR 1 DO SWZ</w:t>
      </w:r>
    </w:p>
    <w:p w:rsidR="00B91DC7" w:rsidRPr="00E37133" w:rsidRDefault="00B91DC7" w:rsidP="00B91DC7">
      <w:pPr>
        <w:rPr>
          <w:rFonts w:asciiTheme="majorHAnsi" w:hAnsiTheme="majorHAnsi" w:cs="Arial"/>
        </w:rPr>
      </w:pPr>
    </w:p>
    <w:p w:rsidR="00B91DC7" w:rsidRPr="00E37133" w:rsidRDefault="00B91DC7" w:rsidP="00B91DC7">
      <w:pPr>
        <w:jc w:val="center"/>
        <w:rPr>
          <w:rFonts w:asciiTheme="majorHAnsi" w:hAnsiTheme="majorHAnsi" w:cs="Arial"/>
          <w:b/>
          <w:spacing w:val="20"/>
          <w:sz w:val="24"/>
        </w:rPr>
      </w:pPr>
      <w:r w:rsidRPr="00E37133">
        <w:rPr>
          <w:rFonts w:asciiTheme="majorHAnsi" w:hAnsiTheme="majorHAnsi" w:cs="Arial"/>
          <w:b/>
          <w:spacing w:val="20"/>
          <w:sz w:val="24"/>
        </w:rPr>
        <w:t>FORMULARZ CENOWY</w:t>
      </w:r>
    </w:p>
    <w:p w:rsidR="00360660" w:rsidRPr="00E37133" w:rsidRDefault="00360660" w:rsidP="00B91DC7">
      <w:pPr>
        <w:jc w:val="center"/>
        <w:rPr>
          <w:rFonts w:asciiTheme="majorHAnsi" w:hAnsiTheme="majorHAnsi" w:cs="Arial"/>
          <w:b/>
          <w:spacing w:val="20"/>
          <w:sz w:val="24"/>
        </w:rPr>
      </w:pPr>
    </w:p>
    <w:p w:rsidR="00667FCB" w:rsidRPr="00E37133" w:rsidRDefault="00667FCB" w:rsidP="00667FCB">
      <w:pPr>
        <w:pStyle w:val="Tekstpodstawowy"/>
        <w:spacing w:after="240"/>
        <w:jc w:val="both"/>
        <w:rPr>
          <w:rFonts w:asciiTheme="majorHAnsi" w:hAnsiTheme="majorHAnsi" w:cs="Arial"/>
          <w:bCs/>
          <w:sz w:val="18"/>
          <w:szCs w:val="18"/>
        </w:rPr>
      </w:pPr>
      <w:r w:rsidRPr="00E37133">
        <w:rPr>
          <w:rFonts w:asciiTheme="majorHAnsi" w:hAnsiTheme="majorHAnsi" w:cs="Arial"/>
          <w:bCs/>
          <w:sz w:val="18"/>
          <w:szCs w:val="18"/>
        </w:rPr>
        <w:t>WARUNKI OGÓLNE:</w:t>
      </w:r>
    </w:p>
    <w:p w:rsidR="00667FCB" w:rsidRPr="00E37133" w:rsidRDefault="00667FCB" w:rsidP="00667FCB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.Zamawiający wymaga, aby skuteczność (stężenie, spektrum i czas) działania proponowanych preparatów do dezynfekcji narzędzi i powierzchni, oprócz ulotek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informacyjnych, prospektów i instrukcji użycia były potwierdzone dokumentami z wykonanych badań potwierdzających skuteczność produktów dezynfekcyjnych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wykonanych zgodnie z Normami Europejskimi dla obszaru medycznego lub innymi metodami zaakceptowanymi przez Prezesa Urzędu Rejestracji Produktów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Leczniczych Wyrobów Medycznych i Produktów Biobójczych lub opinią PZH – zamawiający wymaga dostarczenia wraz z pierwsza dostawą  dokumentów z wykonanych badań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dotyczących skuteczności mikrobiologicznej, potwierdzonych za zgodność z oryginałem przez wytwórcę lub zaakceptowanego przez wytwórcę dystrybutora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oferowanego produktu. </w:t>
      </w:r>
    </w:p>
    <w:p w:rsidR="00667FCB" w:rsidRPr="00E37133" w:rsidRDefault="00667FCB" w:rsidP="00667FCB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Na podstawie Ustawy Prawo Farmaceutyczne z dnia 06 września 2001 (z późniejszymi zmianami) art. 72 pkt. 1 Zamawiający wymaga, aby Wykonawca posiadał </w:t>
      </w:r>
    </w:p>
    <w:p w:rsidR="00667FCB" w:rsidRPr="00E37133" w:rsidRDefault="00667FCB" w:rsidP="00667FCB">
      <w:p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   Koncesję Hurtowni Farmaceutycznej na obrót produktami leczniczymi (preparaty do dezynfekcji rąk, skóry i błon śluzowych) – dot. </w:t>
      </w:r>
      <w:r w:rsidRPr="00E37133">
        <w:rPr>
          <w:rFonts w:asciiTheme="majorHAnsi" w:hAnsiTheme="majorHAnsi" w:cs="Arial"/>
          <w:b/>
          <w:sz w:val="18"/>
          <w:szCs w:val="18"/>
        </w:rPr>
        <w:t xml:space="preserve">Pakietu  Nr 4  i Nr. 5 </w:t>
      </w:r>
    </w:p>
    <w:p w:rsidR="00667FCB" w:rsidRPr="00E37133" w:rsidRDefault="00667FCB" w:rsidP="00667FCB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Zamawiający wymaga dostarczenia przy pierwszej dostawie  kart charakterystyki oferowanych produktów w języku polskim wydanych  przez producenta oferowanego przedmiotu zamówienia. Zamawiający dopuszcza dostarczenie kart na płycie CD.  </w:t>
      </w:r>
    </w:p>
    <w:p w:rsidR="00667FCB" w:rsidRPr="00E37133" w:rsidRDefault="00667FCB" w:rsidP="00667FCB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>Zamawiający wymaga załączenia do opakowań zbiorczych preparatów dezynfekcyjnych zapasowych oryginalnych samoprzylepnych etykiet oraz pompek dozujących – d</w:t>
      </w:r>
      <w:r w:rsidRPr="00E37133">
        <w:rPr>
          <w:rFonts w:asciiTheme="majorHAnsi" w:hAnsiTheme="majorHAnsi" w:cs="Arial"/>
          <w:sz w:val="18"/>
          <w:szCs w:val="18"/>
        </w:rPr>
        <w:t>o</w:t>
      </w:r>
      <w:r w:rsidRPr="00E37133">
        <w:rPr>
          <w:rFonts w:asciiTheme="majorHAnsi" w:hAnsiTheme="majorHAnsi" w:cs="Arial"/>
          <w:sz w:val="18"/>
          <w:szCs w:val="18"/>
        </w:rPr>
        <w:t>tyczy pakietu nr  2,4,5.</w:t>
      </w:r>
    </w:p>
    <w:p w:rsidR="00667FCB" w:rsidRPr="00E37133" w:rsidRDefault="00667FCB" w:rsidP="00667FCB">
      <w:pPr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667FCB" w:rsidRPr="00E37133" w:rsidRDefault="00667FCB" w:rsidP="00667FCB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b/>
          <w:sz w:val="18"/>
          <w:szCs w:val="18"/>
          <w:lang w:eastAsia="en-US"/>
        </w:rPr>
        <w:t>Warunki do pakietu  nr 3</w:t>
      </w:r>
      <w:r w:rsidRPr="00E37133">
        <w:rPr>
          <w:rFonts w:asciiTheme="majorHAnsi" w:hAnsiTheme="majorHAnsi" w:cs="Arial"/>
          <w:sz w:val="18"/>
          <w:szCs w:val="18"/>
          <w:lang w:eastAsia="en-US"/>
        </w:rPr>
        <w:t>.</w:t>
      </w:r>
    </w:p>
    <w:p w:rsidR="00667FCB" w:rsidRPr="00E37133" w:rsidRDefault="00667FCB" w:rsidP="00667FCB">
      <w:pPr>
        <w:pStyle w:val="gwpf2505613msonormal"/>
        <w:numPr>
          <w:ilvl w:val="0"/>
          <w:numId w:val="2"/>
        </w:numPr>
        <w:spacing w:before="0" w:beforeAutospacing="0"/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  <w:lang w:eastAsia="en-US"/>
        </w:rPr>
        <w:t>Zamawiający wymaga, by wykonawca raz do roku wykonał i przedstawił w postaci raportu analizę procesów dekontaminacji maszynowej, zawierającą rozkład temp</w:t>
      </w:r>
      <w:r w:rsidRPr="00E37133">
        <w:rPr>
          <w:rFonts w:asciiTheme="majorHAnsi" w:hAnsiTheme="majorHAnsi" w:cs="Arial"/>
          <w:sz w:val="18"/>
          <w:szCs w:val="18"/>
          <w:lang w:eastAsia="en-US"/>
        </w:rPr>
        <w:t>e</w:t>
      </w:r>
      <w:r w:rsidRPr="00E37133">
        <w:rPr>
          <w:rFonts w:asciiTheme="majorHAnsi" w:hAnsiTheme="majorHAnsi" w:cs="Arial"/>
          <w:sz w:val="18"/>
          <w:szCs w:val="18"/>
          <w:lang w:eastAsia="en-US"/>
        </w:rPr>
        <w:t>ratury (2 punkty) oraz rozkład przewodności w trakcie trwania programu w myjni- dezynfektorze. Wykonawca zobowiązany jest do wykonania testu pozostałości bia</w:t>
      </w:r>
      <w:r w:rsidRPr="00E37133">
        <w:rPr>
          <w:rFonts w:asciiTheme="majorHAnsi" w:hAnsiTheme="majorHAnsi" w:cs="Arial"/>
          <w:sz w:val="18"/>
          <w:szCs w:val="18"/>
          <w:lang w:eastAsia="en-US"/>
        </w:rPr>
        <w:t>ł</w:t>
      </w:r>
      <w:r w:rsidRPr="00E37133">
        <w:rPr>
          <w:rFonts w:asciiTheme="majorHAnsi" w:hAnsiTheme="majorHAnsi" w:cs="Arial"/>
          <w:sz w:val="18"/>
          <w:szCs w:val="18"/>
          <w:lang w:eastAsia="en-US"/>
        </w:rPr>
        <w:t xml:space="preserve">kowej na narzędziach (dopuszcza się metodę biuretową i </w:t>
      </w:r>
      <w:proofErr w:type="spellStart"/>
      <w:r w:rsidRPr="00E37133">
        <w:rPr>
          <w:rFonts w:asciiTheme="majorHAnsi" w:hAnsiTheme="majorHAnsi" w:cs="Arial"/>
          <w:sz w:val="18"/>
          <w:szCs w:val="18"/>
          <w:lang w:eastAsia="en-US"/>
        </w:rPr>
        <w:t>ninhydrynową</w:t>
      </w:r>
      <w:proofErr w:type="spellEnd"/>
      <w:r w:rsidRPr="00E37133">
        <w:rPr>
          <w:rFonts w:asciiTheme="majorHAnsi" w:hAnsiTheme="majorHAnsi" w:cs="Arial"/>
          <w:sz w:val="18"/>
          <w:szCs w:val="18"/>
          <w:lang w:eastAsia="en-US"/>
        </w:rPr>
        <w:t xml:space="preserve">). </w:t>
      </w:r>
    </w:p>
    <w:p w:rsidR="00667FCB" w:rsidRPr="00E37133" w:rsidRDefault="00667FCB" w:rsidP="00667FCB">
      <w:pPr>
        <w:pStyle w:val="gwpf2505613msonormal"/>
        <w:numPr>
          <w:ilvl w:val="0"/>
          <w:numId w:val="2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  <w:lang w:eastAsia="en-US"/>
        </w:rPr>
        <w:t>Zamawiający wymaga dostarczenia oraz zamontowania na koszt dostawcy  Centralnego Systemu Dozowania.</w:t>
      </w:r>
    </w:p>
    <w:p w:rsidR="00667FCB" w:rsidRPr="00E37133" w:rsidRDefault="00667FCB" w:rsidP="00667FCB">
      <w:pPr>
        <w:pStyle w:val="gwpf2505613msonormal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>Koszty podłączenia środków i kalibracji stężeń w  urządzeniach  jest po stronie dostawcy środków.</w:t>
      </w:r>
    </w:p>
    <w:p w:rsidR="00D55FA8" w:rsidRPr="00E37133" w:rsidRDefault="00D55FA8" w:rsidP="00D55FA8">
      <w:pPr>
        <w:rPr>
          <w:rFonts w:asciiTheme="majorHAnsi" w:hAnsiTheme="majorHAnsi" w:cs="Arial"/>
          <w:b/>
          <w:spacing w:val="20"/>
          <w:sz w:val="24"/>
        </w:rPr>
      </w:pPr>
    </w:p>
    <w:p w:rsidR="00D55FA8" w:rsidRPr="00E37133" w:rsidRDefault="00D55FA8" w:rsidP="00D55FA8">
      <w:pPr>
        <w:rPr>
          <w:rFonts w:asciiTheme="majorHAnsi" w:hAnsiTheme="majorHAnsi" w:cs="Arial"/>
          <w:b/>
          <w:spacing w:val="20"/>
          <w:sz w:val="24"/>
        </w:rPr>
      </w:pPr>
    </w:p>
    <w:p w:rsidR="00D55FA8" w:rsidRPr="00E37133" w:rsidRDefault="00D55FA8" w:rsidP="00D55FA8">
      <w:pPr>
        <w:rPr>
          <w:rFonts w:asciiTheme="majorHAnsi" w:hAnsiTheme="majorHAnsi" w:cs="Arial"/>
          <w:b/>
          <w:spacing w:val="20"/>
          <w:sz w:val="24"/>
        </w:rPr>
      </w:pPr>
    </w:p>
    <w:p w:rsidR="00D04A93" w:rsidRPr="00E37133" w:rsidRDefault="00D04A93" w:rsidP="00D55FA8">
      <w:pPr>
        <w:rPr>
          <w:rFonts w:asciiTheme="majorHAnsi" w:hAnsiTheme="majorHAnsi" w:cs="Arial"/>
          <w:b/>
          <w:spacing w:val="20"/>
          <w:sz w:val="24"/>
        </w:rPr>
      </w:pPr>
    </w:p>
    <w:p w:rsidR="00D04A93" w:rsidRPr="002563AD" w:rsidRDefault="00CD6FBC" w:rsidP="002563AD">
      <w:pPr>
        <w:pStyle w:val="Nagwek3"/>
        <w:rPr>
          <w:rFonts w:asciiTheme="majorHAnsi" w:hAnsiTheme="majorHAnsi"/>
          <w:sz w:val="18"/>
          <w:szCs w:val="18"/>
          <w:lang w:val="pl-PL"/>
        </w:rPr>
      </w:pPr>
      <w:r w:rsidRPr="002563AD">
        <w:rPr>
          <w:rFonts w:asciiTheme="majorHAnsi" w:hAnsiTheme="majorHAnsi"/>
          <w:sz w:val="18"/>
          <w:szCs w:val="18"/>
        </w:rPr>
        <w:t>PAKIET NR 1 - Dezynfekcja narzędzi chirurgicznych, endoskopów</w:t>
      </w:r>
      <w:r w:rsidR="002563AD">
        <w:rPr>
          <w:rFonts w:asciiTheme="majorHAnsi" w:hAnsiTheme="majorHAnsi"/>
          <w:sz w:val="18"/>
          <w:szCs w:val="18"/>
          <w:lang w:val="pl-PL"/>
        </w:rPr>
        <w:t>.</w:t>
      </w:r>
    </w:p>
    <w:p w:rsidR="00CD6FBC" w:rsidRPr="00CD6FBC" w:rsidRDefault="00CD6FBC" w:rsidP="00D55FA8">
      <w:pPr>
        <w:rPr>
          <w:rFonts w:asciiTheme="majorHAnsi" w:hAnsiTheme="majorHAnsi" w:cs="Arial"/>
          <w:b/>
          <w:spacing w:val="20"/>
          <w:sz w:val="24"/>
        </w:rPr>
      </w:pPr>
    </w:p>
    <w:tbl>
      <w:tblPr>
        <w:tblpPr w:leftFromText="141" w:rightFromText="141" w:vertAnchor="text" w:horzAnchor="margin" w:tblpXSpec="center" w:tblpY="4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992"/>
        <w:gridCol w:w="881"/>
        <w:gridCol w:w="1324"/>
        <w:gridCol w:w="1913"/>
        <w:gridCol w:w="1041"/>
        <w:gridCol w:w="1471"/>
        <w:gridCol w:w="883"/>
        <w:gridCol w:w="1324"/>
        <w:gridCol w:w="1471"/>
      </w:tblGrid>
      <w:tr w:rsidR="00232011" w:rsidRPr="00E37133" w:rsidTr="00D04A93">
        <w:trPr>
          <w:cantSplit/>
          <w:trHeight w:val="1051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CD6FBC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Jednos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ka miary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Przewidywana ilość na okres</w:t>
            </w:r>
          </w:p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producent, wielkość opakowania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</w:t>
            </w:r>
            <w:r w:rsidRPr="00CD6FBC">
              <w:rPr>
                <w:rFonts w:asciiTheme="majorHAnsi" w:hAnsiTheme="majorHAnsi" w:cs="Arial"/>
                <w:sz w:val="18"/>
                <w:szCs w:val="18"/>
                <w:lang w:eastAsia="en-US"/>
              </w:rPr>
              <w:t>t</w:t>
            </w:r>
            <w:r w:rsidRPr="00CD6FBC">
              <w:rPr>
                <w:rFonts w:asciiTheme="majorHAnsi" w:hAnsiTheme="majorHAnsi" w:cs="Arial"/>
                <w:sz w:val="18"/>
                <w:szCs w:val="18"/>
                <w:lang w:eastAsia="en-US"/>
              </w:rPr>
              <w:t>kę miary 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CD6FBC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232011" w:rsidRPr="00CD6FBC" w:rsidRDefault="00232011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232011" w:rsidRPr="00E37133" w:rsidTr="00D04A93">
        <w:trPr>
          <w:cantSplit/>
          <w:trHeight w:val="273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kol</w:t>
            </w:r>
            <w:proofErr w:type="spellEnd"/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CD6FBC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sz w:val="18"/>
                <w:szCs w:val="18"/>
              </w:rPr>
              <w:t>kol.3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232011" w:rsidRPr="00CD6FBC" w:rsidRDefault="00232011" w:rsidP="00D04A9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CD6FBC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232011" w:rsidRPr="00E37133" w:rsidTr="00D04A93">
        <w:trPr>
          <w:trHeight w:val="709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Preparat w proszku, bez aktywatora do mycia i dezynfekcji wysokiego stopnia wyrobów medycznych (narzędzi, endosk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pów giętkich – pozytywna opinia Olympus Optical i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Storz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>) również w myjkach ultradźwiękowych - do 10 min; B, F (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C.albicns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A.niger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),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(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M.tuberculosis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lub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M.avium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i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M.terrae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>), V, S (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B.subtilis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C.sporogenes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C.difficile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R027,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C.perfringens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) - do 15 minut; skład: nadwęglan sodu,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tenzydy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niejonowe,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fosfoniany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>, bez zawartość benzenu (i jego pocho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nych), nadboranu sodu, aldehydów, chloru, fenoli, enzymów i czwartorzędowych związków amoniowych;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8.0 (1%); w komplecie fiolka 50szt. kompatybilnych (pochodzących od jednego producenta) pasków do testowania aktywności; wi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dra 1,5kg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KG</w:t>
            </w:r>
          </w:p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200 </w:t>
            </w:r>
          </w:p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04A93">
        <w:trPr>
          <w:trHeight w:val="406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Paski testowe do poz.1.  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200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04A93">
        <w:trPr>
          <w:trHeight w:val="843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Gotowy,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trójenzymatyczny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preparat w postaci piany, przezn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czony do wstępnego nawilżania oraz dezynfekcji zanieczys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z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czonych narzędzi chirurgicznych, na bazie czwartorzędowego węglanu amonowego, niejonowych związków powierzchniowo czynnych oraz glicerolu . Spektrum B, F (C.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), V (HIV, HBV, HCV,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Herpes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Vaccinia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) do 15 min.,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 xml:space="preserve"> (M. </w:t>
            </w:r>
            <w:proofErr w:type="spellStart"/>
            <w:r w:rsidRPr="00CD6FBC">
              <w:rPr>
                <w:rFonts w:asciiTheme="majorHAnsi" w:hAnsiTheme="majorHAnsi" w:cs="Arial"/>
                <w:sz w:val="18"/>
                <w:szCs w:val="18"/>
              </w:rPr>
              <w:t>terrae</w:t>
            </w:r>
            <w:proofErr w:type="spellEnd"/>
            <w:r w:rsidRPr="00CD6FBC">
              <w:rPr>
                <w:rFonts w:asciiTheme="majorHAnsi" w:hAnsiTheme="majorHAnsi" w:cs="Arial"/>
                <w:sz w:val="18"/>
                <w:szCs w:val="18"/>
              </w:rPr>
              <w:t>) do 30 min; charakteryzujący się wysoką kompatybilnością materi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CD6FBC">
              <w:rPr>
                <w:rFonts w:asciiTheme="majorHAnsi" w:hAnsiTheme="majorHAnsi" w:cs="Arial"/>
                <w:sz w:val="18"/>
                <w:szCs w:val="18"/>
              </w:rPr>
              <w:t>łową - umożliwiający przechowywanie narzędzi w postaci zwilżonej przez okres do 72 godzin; opakowanie o pojemności 750 ml ze zintegrowanym spryskiwaczem 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L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D6FBC">
              <w:rPr>
                <w:rFonts w:asciiTheme="majorHAnsi" w:hAnsiTheme="majorHAnsi" w:cs="Arial"/>
                <w:sz w:val="18"/>
                <w:szCs w:val="18"/>
              </w:rPr>
              <w:t>45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2011" w:rsidRPr="00CD6FBC" w:rsidRDefault="00232011" w:rsidP="00D04A9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04A93">
        <w:trPr>
          <w:trHeight w:val="978"/>
        </w:trPr>
        <w:tc>
          <w:tcPr>
            <w:tcW w:w="736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992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Neutralny, enzymatyczny preparat do manualnego przygot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wania i wstępnej dezynfekcji narzędzi medycznych (narzędzi chirurgicznych i medycznych, narzędzi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termolabilnych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oraz sprzętu endoskopowego, przed sterylizacją), również w my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j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kach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ultradzwiękowych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zawierający: czwartorzędowy węglan amonu, niejonowe środki powierzchniowo czynne, kompleks enzymów (proteaza, amylaza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mannanaza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), związki komple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sujące;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roztworu: 7,5 - 8,5; stężenie 0,5 - 1%; spektrum działania w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wrunkach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brudnych: B, F (C.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V (HIV, HBV, HCV) do 30 min. Z możliwością pozostawienia narzędzi przez 72h w roztworze. Wyrób medyczny kl. II. Op. 5 L</w:t>
            </w:r>
          </w:p>
        </w:tc>
        <w:tc>
          <w:tcPr>
            <w:tcW w:w="881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L</w:t>
            </w:r>
          </w:p>
        </w:tc>
        <w:tc>
          <w:tcPr>
            <w:tcW w:w="1324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 60</w:t>
            </w:r>
          </w:p>
        </w:tc>
        <w:tc>
          <w:tcPr>
            <w:tcW w:w="1913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:rsidR="00232011" w:rsidRPr="00E37133" w:rsidRDefault="00232011" w:rsidP="00D04A9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04A93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0887" w:type="dxa"/>
            <w:gridSpan w:val="6"/>
          </w:tcPr>
          <w:p w:rsidR="00232011" w:rsidRPr="00E37133" w:rsidRDefault="00232011" w:rsidP="00D04A93">
            <w:pPr>
              <w:suppressAutoHyphens/>
              <w:spacing w:line="240" w:lineRule="auto"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232011" w:rsidRPr="00E37133" w:rsidRDefault="00232011" w:rsidP="00D04A93">
            <w:pPr>
              <w:suppressAutoHyphens/>
              <w:spacing w:line="240" w:lineRule="auto"/>
              <w:ind w:left="567"/>
              <w:textAlignment w:val="baseline"/>
              <w:rPr>
                <w:rFonts w:asciiTheme="majorHAnsi" w:eastAsia="Arial" w:hAnsiTheme="majorHAnsi" w:cs="Arial"/>
                <w:b/>
                <w:color w:val="FF0000"/>
                <w:kern w:val="2"/>
                <w:lang w:eastAsia="zh-CN" w:bidi="hi-IN"/>
              </w:rPr>
            </w:pPr>
            <w:r w:rsidRPr="00E37133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                                                                                                                                        </w:t>
            </w:r>
            <w:r w:rsidR="00E37133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                                     </w:t>
            </w:r>
            <w:r w:rsidRPr="00E37133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Wartość ogółem w złotych: </w:t>
            </w:r>
          </w:p>
        </w:tc>
        <w:tc>
          <w:tcPr>
            <w:tcW w:w="1471" w:type="dxa"/>
          </w:tcPr>
          <w:p w:rsidR="00232011" w:rsidRPr="00E37133" w:rsidRDefault="00232011" w:rsidP="00D04A9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232011" w:rsidRPr="00E37133" w:rsidRDefault="00232011" w:rsidP="00D04A9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883" w:type="dxa"/>
            <w:shd w:val="clear" w:color="auto" w:fill="000000" w:themeFill="text1"/>
          </w:tcPr>
          <w:p w:rsidR="00232011" w:rsidRPr="00E37133" w:rsidRDefault="00232011" w:rsidP="00D04A9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232011" w:rsidRPr="00E37133" w:rsidRDefault="00232011" w:rsidP="00D04A9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1324" w:type="dxa"/>
            <w:shd w:val="clear" w:color="auto" w:fill="000000" w:themeFill="text1"/>
          </w:tcPr>
          <w:p w:rsidR="00232011" w:rsidRPr="00E37133" w:rsidRDefault="00232011" w:rsidP="00D04A9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232011" w:rsidRPr="00E37133" w:rsidRDefault="00232011" w:rsidP="00D04A9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1471" w:type="dxa"/>
          </w:tcPr>
          <w:p w:rsidR="00232011" w:rsidRPr="00E37133" w:rsidRDefault="00232011" w:rsidP="00D04A9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232011" w:rsidRPr="00E37133" w:rsidRDefault="00232011" w:rsidP="00D04A9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</w:tr>
    </w:tbl>
    <w:p w:rsidR="00562D33" w:rsidRPr="00E37133" w:rsidRDefault="00562D33" w:rsidP="00562D33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562D33" w:rsidRPr="00E37133" w:rsidRDefault="00562D33" w:rsidP="002F3D5B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color w:val="FF0000"/>
          <w:kern w:val="2"/>
          <w:lang w:eastAsia="zh-CN" w:bidi="hi-IN"/>
        </w:rPr>
      </w:pPr>
    </w:p>
    <w:p w:rsidR="00562D33" w:rsidRPr="00E37133" w:rsidRDefault="00562D33" w:rsidP="002F3D5B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color w:val="FF0000"/>
          <w:kern w:val="2"/>
          <w:lang w:eastAsia="zh-CN" w:bidi="hi-IN"/>
        </w:rPr>
      </w:pPr>
    </w:p>
    <w:p w:rsidR="002F3D5B" w:rsidRPr="00EE0AAD" w:rsidRDefault="002F3D5B" w:rsidP="002F3D5B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F3D5B" w:rsidRPr="00EE0AAD" w:rsidRDefault="002F3D5B" w:rsidP="002F3D5B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kern w:val="2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Zamawiający zaleca zapisanie dokumentu w formacie PDF.</w:t>
      </w:r>
    </w:p>
    <w:p w:rsidR="002F3D5B" w:rsidRPr="00E37133" w:rsidRDefault="002F3D5B" w:rsidP="00360660">
      <w:pPr>
        <w:rPr>
          <w:rFonts w:asciiTheme="majorHAnsi" w:hAnsiTheme="majorHAnsi" w:cs="Arial"/>
        </w:rPr>
      </w:pPr>
    </w:p>
    <w:p w:rsidR="002F3D5B" w:rsidRPr="00E37133" w:rsidRDefault="002F3D5B" w:rsidP="00360660">
      <w:pPr>
        <w:rPr>
          <w:rFonts w:asciiTheme="majorHAnsi" w:hAnsiTheme="majorHAnsi" w:cs="Arial"/>
        </w:rPr>
      </w:pPr>
    </w:p>
    <w:p w:rsidR="007A586A" w:rsidRPr="002563AD" w:rsidRDefault="007A586A" w:rsidP="002563AD">
      <w:pPr>
        <w:pStyle w:val="Nagwek3"/>
        <w:rPr>
          <w:rFonts w:asciiTheme="majorHAnsi" w:hAnsiTheme="majorHAnsi"/>
          <w:sz w:val="18"/>
          <w:szCs w:val="18"/>
          <w:lang w:val="pl-PL"/>
        </w:rPr>
      </w:pPr>
      <w:r w:rsidRPr="002563AD">
        <w:rPr>
          <w:rFonts w:asciiTheme="majorHAnsi" w:hAnsiTheme="majorHAnsi"/>
          <w:sz w:val="18"/>
          <w:szCs w:val="18"/>
        </w:rPr>
        <w:t>PAKIET NR 2 - Dezynfekcja powierzchni,  inkubatorów, wyrobów medycznych</w:t>
      </w:r>
      <w:r w:rsidR="002563AD">
        <w:rPr>
          <w:rFonts w:asciiTheme="majorHAnsi" w:hAnsiTheme="majorHAnsi"/>
          <w:sz w:val="18"/>
          <w:szCs w:val="18"/>
          <w:lang w:val="pl-PL"/>
        </w:rPr>
        <w:t>.</w:t>
      </w:r>
    </w:p>
    <w:p w:rsidR="007A586A" w:rsidRPr="00E37133" w:rsidRDefault="007A586A" w:rsidP="007A586A">
      <w:pPr>
        <w:rPr>
          <w:rFonts w:asciiTheme="majorHAnsi" w:hAnsiTheme="majorHAnsi" w:cs="Arial"/>
          <w:sz w:val="18"/>
          <w:szCs w:val="18"/>
        </w:rPr>
      </w:pP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995"/>
        <w:gridCol w:w="848"/>
        <w:gridCol w:w="1419"/>
        <w:gridCol w:w="1842"/>
        <w:gridCol w:w="1137"/>
        <w:gridCol w:w="1416"/>
        <w:gridCol w:w="851"/>
        <w:gridCol w:w="1277"/>
        <w:gridCol w:w="1416"/>
      </w:tblGrid>
      <w:tr w:rsidR="00232011" w:rsidRPr="00E37133" w:rsidTr="00D81FC6">
        <w:trPr>
          <w:cantSplit/>
          <w:trHeight w:val="8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Jednos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ka miary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Przewidywana ilość na okres</w:t>
            </w:r>
          </w:p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producent, wielkość opakowania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jednostkę miary</w:t>
            </w:r>
            <w:r w:rsidR="00D8382C"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w złotych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984762" w:rsidRPr="00E37133" w:rsidRDefault="00984762" w:rsidP="00D81FC6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D81FC6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C6" w:rsidRDefault="00D81FC6" w:rsidP="00D81FC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D81FC6" w:rsidRPr="00D81FC6" w:rsidRDefault="00D81FC6" w:rsidP="00D81FC6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81FC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 4 x kol.9)</w:t>
            </w:r>
          </w:p>
          <w:p w:rsidR="00984762" w:rsidRPr="00E37133" w:rsidRDefault="00984762" w:rsidP="00D81FC6">
            <w:pPr>
              <w:ind w:right="355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232011" w:rsidRPr="00E37133" w:rsidTr="00D81FC6">
        <w:trPr>
          <w:cantSplit/>
          <w:trHeight w:val="37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kol.1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 w:eastAsia="en-US"/>
              </w:rPr>
              <w:t>kol. 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kol. 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D8382C" w:rsidRPr="00E37133" w:rsidRDefault="00D8382C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382C" w:rsidRPr="00E37133" w:rsidRDefault="00D8382C" w:rsidP="009E2020">
            <w:pPr>
              <w:ind w:right="355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232011" w:rsidRPr="00E37133" w:rsidTr="00D81FC6">
        <w:trPr>
          <w:trHeight w:val="95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Preparat chlorowy w tabletkach na bazie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NaDCC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bez zawart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ści kwasów organicznych o obojętnym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roztworu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7.0); czas i spektrum działania: działający na bakterie,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M.tuberculosis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), wirusy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Polio), grzyby, i spory (Cl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stridium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difficile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rybotyp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027 wg EN 13704 w warunkach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wysokiego obciążenia białkowego z dodatkiem erytrocytów baranich ( 0,3%)) - do 15min. przeznaczony do dezynfekcji dużych powierzchni zmywalnych, również obciążonych mat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riałem organicznym jak i służący do zalewania plam krwi; posiadający atest PZH HŻ (lub równoważny) do dezynfekcji powierzchni mających kontakt z żywnością; wymagane ozn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kowane miarki do sporządzania roztworu; czas aktywności roztworu roboczego 24 godziny (poparty badaniami); masa tabletki 2,72g; opakowanie 300 tabl. 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 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 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Gotowy do użycia preparat do szybkiej dezynfekcji wyrobów medycznych oraz małych i trudnodostępnych powierzchni odpornych na działanie alkoholi w placówkach służby zdrowia; zawierający w składzie: etanol 55%, IV rzędowe związki am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nowe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propionian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); spektrum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bójcze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: bakteriobójczy (w tym prątki gruźlicy),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drożdżakobójczy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wirusobójczy (w tym wszystkie wirusy osłonkowe, Adenowirus) - w czasie do 30 sekund oraz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prątkobójczy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grzybobójczy, wirusobójczy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Nor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wirus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(MNV)) - w czasie do 5 minut. W opakowaniu o poje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ności 1000 ml + spryskiwacz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Gotowy do użycia preparat do szybkiej dezynfekcji wyrobów medycznych oraz małych i trudnodostępnych powierzchni odpornych na działanie alkoholi w placówkach służby zdrowia; zawierający w składzie: etanol 55%, IV rzędowe związki am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nowe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propionian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); spektrum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bójcze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: bakteriobójczy (w tym prątki gruźlicy),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drożdżakobójczy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wirusobójczy (w tym wszystkie wirusy osłonkowe, Adenowirus) - w czasie do 30 sekund oraz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prątkobójczy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grzybobójczy, wirusobójczy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Nor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wirus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(MNV)) - w czasie do 5 minut. W opakowaniu - kanister 5 L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w postaci szybkodziałającej gotowej pianki na bazie nadtlenku wodoru, do dezynfekcji i mycia powierzchni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dycznych wrażliwych nadziałanie alkoholu (w tym urządzeń elektronicznych np. sondy USG, monitory, telefony komórk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we); na bazie H2O2 (&lt; 2%) bez zawartości alkoholu, chloru,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kwasu nadoctowego, QAV); spektrum działania: zgodnie z EN 16615 B, F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Candidia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 – 1 min,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– 5min, S (Cl.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Difficile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 027) – 15min, V zgodnie z RKI i EN 14476 (HBV, HCV, HIV,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Polyoma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SV40, Noro, Polio) – do 30 min; okres trwałości po pierwszym otwarciu – do końca okresu ważności; możliwość stosowania bez użycia środków ochrony indywidualnych; opakowania: 750ml; posiadający podwójną rejestrację (wyrób medyczny i biobójczy)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    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  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23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w postaci szybkodziałającej gotowej pianki na bazie nadtlenku wodoru, do dezynfekcji i mycia powierzchni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dycznych wrażliwych nadziałanie alkoholu (w tym urządzeń elektronicznych np. sondy USG, monitory, telefony komórk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we); na bazie H2O2 (&lt; 2%) bez zawartości alkoholu, chloru, kwasu nadoctowego, QAV); spektrum działania: zgodnie z EN 16615 B, F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Candidia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 – 1 min,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– 5min, S (Cl.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Difficile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 027) – 15min, V zgodnie z RKI i EN 14476 (HBV, HCV, HIV,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Polyoma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SV40, Noro, Polio) – do 30 min; okres trwałości po pierwszym otwarciu – do końca okresu ważności; możliwość stosowania bez użycia środków ochrony indywidualnych; opakowania: 5l; posiadający podwójną rej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strację (wyrób medyczny i biobójczy)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   1000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23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do dezynfekcji wyrobów medycznych, w tym z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wnętrznych elementów centralnych i obwodowych cewników dożylnych, takich jak wejścia do kanału wkłucia, części kan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łów, korki, kraniki itp. Na bazie alkoholu izopropylowego (max. 70%)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chlorheksydyny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(max.2%). Bezpieczny dla skóry. Spe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trum działania: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 (C.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), V (HIV, HBV, HCV, Rota) do 1min. Wyrób medyczny. Op. 250ml ze spryskiwaczem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23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Jednorazowe gaziki do dezynfekcji zewnętrznych elementów centralnych i obwodowych cewników dożylnych takich jak wejścia do kanałów wkłucia, części kanałów, korki, kraniki itp. Skład: 2%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diglukonian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chlorheksy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dyny i 70% alkohol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izopr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pylo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wy. Materiał gazika 25 g / m2 100 % PP (hydrofilny nie zawierający jonów). E.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hirae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S.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aureus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E. coli, P.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aeruginosa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EN 13727 15 sekund czyste i brudne warunki C.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EN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13624 15 sekund czyste i brudne warunki – 15 sekund. Op. a 100szt.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do mycia i dezynfekcji powierzchni; wyrobów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dycznych i wyposażenia, zawierający N-(3-aminopropyl)-N-dodecylopropano-1,3-diamina, chlorek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didecylodimetyloam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nowy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substancje pomocnicze; skuteczny w warunkach bru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nych wobec: B, drożdże, V (wirusy osłonkowe wg EN 14476) - 15min (0,25%);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drożdże, V (wirusy osłonkowe, Aden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wirus,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Norowirus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(MNV) - wg EN 14476) - 30min; z możliw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ścią stosowania w obecności pacjentów oraz na oddziałach położniczych i noworodkowych; opakowania: 1000ml z wb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dowanym dozownikiem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do mycia i dezynfekcji powierzchni; wyrobów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dycznych i wyposażenia, zawierający N-(3-aminopropyl)-N-dodecylopropano-1,3-diamina, chlorek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didecylodimetyloam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nowy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substancje pomocnicze; skuteczny w warunkach bru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nych wobec: B, drożdże, V (wirusy osłonkowe wg EN 14476) - 15min (0,25%);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drożdże, V (wirusy osłonkowe, Aden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wirus,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Norowirus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(MNV) - wg EN 14476) - 30min; z możliw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ścią stosowania w obecności pacjentów oraz na oddziałach położniczych i noworodkowych; opakowania: kanister 5 L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21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pompki do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poz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7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Mycie i dezynfekcja  - wanny z hydromasażem- rehabilitacja Koncentrat do mycia i dezynfekcji systemów ssących, obiegu zamkniętego w wannach z hydromasażem. Zapobiegający powstawaniu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biofilmu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. Nie pieniący. Możliwość pozostawienia roztworu preparatu w obiegu na noc. Skład: amina, czwart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rzędowy związek amonowy. Spektrum i czas działania: B (w tym MRSA), F (C.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), V (HBV, HIV, HCV,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Ebola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grypa, wirus opryszczki) 2% w 15 min.,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(M.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tuberculosis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 4% w 60 min. Wyrób medyczny. Opakowanie 5 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ab/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ab/>
              <w:t xml:space="preserve">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w postaci szybkodziałających gotowych do użycia chusteczek do dezynfekcji i mycia powierzchni medycznych wrażliwych nadziałanie alkoholu, na bazie H</w:t>
            </w:r>
            <w:r w:rsidRPr="00E37133">
              <w:rPr>
                <w:rFonts w:asciiTheme="majorHAnsi" w:hAnsiTheme="majorHAnsi" w:cs="Cambria Math"/>
                <w:sz w:val="18"/>
                <w:szCs w:val="18"/>
              </w:rPr>
              <w:t>₂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Cambria Math"/>
                <w:sz w:val="18"/>
                <w:szCs w:val="18"/>
              </w:rPr>
              <w:t>₂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bez zawartości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alkoholu, chloru, QAV, kwasu nadoctowego oraz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poliaminy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chusteczka o wymiarze min. 20 x 20 cm i gramaturze min. 50 g/m²; spektrum działania: zgodnie z EN 16615 (test czterech pól) B, F - 5 minut, V zgodnie z RKI V (osłonkowe w tym: HBV, HCV, HIV;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Polyoma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SV40, Rota) - 30s, V zgodnie z EN 14476 (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 - 1min; testy wykonane na roztworze odciśniętym z chusteczki lub bezpośrednio z jej udziałem (EN 16615); mo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ż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liwość stosowania min. 3 miesiące od daty otwarcia opakow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nia, produkt posiadający rejestrację jako wyrób medyczny, konfekcjonowane w opakowaniu 100 chusteczek.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Chusteczki alkoholowe do dezynfekcji małych powierzchni i sprzętu medycznego, bez zawartości aldehydów. Substancje czynne 35 g propan-2-ol,25 g propan-1-ol. Czas i spektrum działania: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* wg VAH 2015 (metodyka EN 16615) B,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- 5 min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* B (EN 16615, EN 13727),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>drożdże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(EN 16615, EN 13624), Tbc (EN 16615, EN 14348) - 1 min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* V wg EN 14476: osłonkowe, Rota - 30s;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Noro - 5 min;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Polyoma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SV 40 - 10min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* V wg DVV/RKI: osłonkowe - 30s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Opakowanie: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flowpack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100 chusteczek o wymiarach 200x200mm; okres trwałości po pierwszym otwarciu: 2 mi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siące; wyrób medyczny klasy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IIa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Środek dezynfekujący oparty na kwasie nadoctowym do 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zynfekcji powierzchni metoda zamgławiania.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Gotowy do użycia produkt biobójczy 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Spektrum działania B,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V, S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Przebadany zgodnie z NFT 72-281 (2014)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Preparat kompatybilny z urządzeniem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Aerosept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500</w:t>
            </w:r>
          </w:p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Opakowania: kanister  o pojemności 5l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86A" w:rsidRPr="00E37133" w:rsidRDefault="007A586A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32011" w:rsidRPr="00E37133" w:rsidTr="00D81FC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438" w:type="pct"/>
            <w:gridSpan w:val="6"/>
          </w:tcPr>
          <w:p w:rsidR="009E2020" w:rsidRPr="00E37133" w:rsidRDefault="00E37133" w:rsidP="009E2020">
            <w:pPr>
              <w:ind w:left="567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B941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9E2020" w:rsidRPr="00E37133" w:rsidRDefault="009E2020" w:rsidP="009E2020">
            <w:pPr>
              <w:ind w:left="567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232011" w:rsidRP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</w:t>
            </w:r>
            <w:r w:rsid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   </w:t>
            </w:r>
            <w:r w:rsidR="00232011" w:rsidRP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="00B9414A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</w:t>
            </w:r>
            <w:r w:rsidR="00232011" w:rsidRP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446" w:type="pct"/>
          </w:tcPr>
          <w:p w:rsidR="009E2020" w:rsidRPr="00E37133" w:rsidRDefault="009E2020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9E2020" w:rsidRPr="00E37133" w:rsidRDefault="009E2020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000000" w:themeFill="text1"/>
          </w:tcPr>
          <w:p w:rsidR="009E2020" w:rsidRPr="00E37133" w:rsidRDefault="009E2020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9E2020" w:rsidRPr="00E37133" w:rsidRDefault="009E2020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:rsidR="009E2020" w:rsidRPr="00E37133" w:rsidRDefault="009E2020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9E2020" w:rsidRPr="00E37133" w:rsidRDefault="009E2020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</w:tcPr>
          <w:p w:rsidR="009E2020" w:rsidRPr="00E37133" w:rsidRDefault="009E2020" w:rsidP="009E2020">
            <w:pPr>
              <w:spacing w:after="200"/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  <w:p w:rsidR="009E2020" w:rsidRPr="00E37133" w:rsidRDefault="009E2020" w:rsidP="009E2020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232011" w:rsidRPr="00E37133" w:rsidRDefault="00232011" w:rsidP="007D69B6">
      <w:pPr>
        <w:suppressAutoHyphens/>
        <w:spacing w:line="240" w:lineRule="auto"/>
        <w:ind w:right="394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232011" w:rsidRPr="00E37133" w:rsidRDefault="00232011" w:rsidP="007D69B6">
      <w:pPr>
        <w:suppressAutoHyphens/>
        <w:spacing w:line="240" w:lineRule="auto"/>
        <w:ind w:right="394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443DD1" w:rsidRDefault="00443DD1" w:rsidP="007D69B6">
      <w:pPr>
        <w:suppressAutoHyphens/>
        <w:spacing w:line="240" w:lineRule="auto"/>
        <w:ind w:right="394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2F3D5B" w:rsidRPr="00EE0AAD" w:rsidRDefault="002F3D5B" w:rsidP="007D69B6">
      <w:pPr>
        <w:suppressAutoHyphens/>
        <w:spacing w:line="240" w:lineRule="auto"/>
        <w:ind w:right="394"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DE1BBE" w:rsidRPr="00E37133" w:rsidRDefault="002F3D5B" w:rsidP="00DE1BBE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Zamawiający zaleca zapisanie dokumentu w formacie PDF</w:t>
      </w:r>
      <w:r w:rsidRPr="00E37133">
        <w:rPr>
          <w:rFonts w:asciiTheme="majorHAnsi" w:eastAsia="Arial" w:hAnsiTheme="majorHAnsi" w:cs="Arial"/>
          <w:b/>
          <w:i/>
          <w:kern w:val="2"/>
          <w:lang w:eastAsia="zh-CN" w:bidi="hi-IN"/>
        </w:rPr>
        <w:t>.</w:t>
      </w:r>
    </w:p>
    <w:p w:rsidR="00E76F41" w:rsidRPr="00E37133" w:rsidRDefault="00E76F41" w:rsidP="00DE1BBE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E76F41" w:rsidRPr="00E37133" w:rsidRDefault="00E76F41" w:rsidP="00DE1BBE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E37133" w:rsidRDefault="00E37133" w:rsidP="007A586A">
      <w:pPr>
        <w:pStyle w:val="Nagwek3"/>
        <w:rPr>
          <w:rFonts w:asciiTheme="majorHAnsi" w:eastAsia="Arial" w:hAnsiTheme="majorHAnsi" w:cs="Arial"/>
          <w:i/>
          <w:color w:val="FF0000"/>
          <w:kern w:val="2"/>
          <w:szCs w:val="22"/>
          <w:lang w:val="pl-PL" w:eastAsia="zh-CN" w:bidi="hi-IN"/>
        </w:rPr>
      </w:pPr>
    </w:p>
    <w:p w:rsidR="00307B72" w:rsidRPr="00307B72" w:rsidRDefault="00307B72" w:rsidP="00307B72">
      <w:pPr>
        <w:rPr>
          <w:lang w:eastAsia="zh-CN" w:bidi="hi-IN"/>
        </w:rPr>
      </w:pPr>
    </w:p>
    <w:p w:rsidR="00B9414A" w:rsidRDefault="00B9414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B9414A" w:rsidRDefault="00B9414A" w:rsidP="007A586A">
      <w:pPr>
        <w:pStyle w:val="Nagwek3"/>
        <w:rPr>
          <w:rFonts w:ascii="Arial" w:eastAsiaTheme="minorHAnsi" w:hAnsi="Arial" w:cstheme="minorBidi"/>
          <w:b w:val="0"/>
          <w:szCs w:val="22"/>
          <w:lang w:val="pl-PL"/>
        </w:rPr>
      </w:pPr>
    </w:p>
    <w:p w:rsidR="00443DD1" w:rsidRPr="00443DD1" w:rsidRDefault="00443DD1" w:rsidP="00443DD1">
      <w:pPr>
        <w:rPr>
          <w:lang w:eastAsia="pl-PL"/>
        </w:rPr>
      </w:pPr>
    </w:p>
    <w:p w:rsidR="00B9414A" w:rsidRDefault="00B9414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7A586A" w:rsidRPr="00E37133" w:rsidRDefault="007A586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PAKIET NR </w:t>
      </w:r>
      <w:r w:rsidRPr="00E37133">
        <w:rPr>
          <w:rFonts w:asciiTheme="majorHAnsi" w:hAnsiTheme="majorHAnsi" w:cs="Arial"/>
          <w:sz w:val="18"/>
          <w:szCs w:val="18"/>
          <w:lang w:val="pl-PL"/>
        </w:rPr>
        <w:t>3</w:t>
      </w:r>
      <w:r w:rsidRPr="00E37133">
        <w:rPr>
          <w:rFonts w:asciiTheme="majorHAnsi" w:hAnsiTheme="majorHAnsi" w:cs="Arial"/>
          <w:sz w:val="18"/>
          <w:szCs w:val="18"/>
        </w:rPr>
        <w:t xml:space="preserve"> - Maszynowe mycie i dezynfekcja </w:t>
      </w:r>
      <w:r w:rsidRPr="00E37133">
        <w:rPr>
          <w:rFonts w:asciiTheme="majorHAnsi" w:hAnsiTheme="majorHAnsi" w:cs="Arial"/>
          <w:sz w:val="18"/>
          <w:szCs w:val="18"/>
          <w:lang w:val="pl-PL"/>
        </w:rPr>
        <w:t xml:space="preserve"> / centralna </w:t>
      </w:r>
      <w:proofErr w:type="spellStart"/>
      <w:r w:rsidRPr="00E37133">
        <w:rPr>
          <w:rFonts w:asciiTheme="majorHAnsi" w:hAnsiTheme="majorHAnsi" w:cs="Arial"/>
          <w:sz w:val="18"/>
          <w:szCs w:val="18"/>
          <w:lang w:val="pl-PL"/>
        </w:rPr>
        <w:t>sterylizatornia</w:t>
      </w:r>
      <w:proofErr w:type="spellEnd"/>
      <w:r w:rsidRPr="00E37133">
        <w:rPr>
          <w:rFonts w:asciiTheme="majorHAnsi" w:hAnsiTheme="majorHAnsi" w:cs="Arial"/>
          <w:sz w:val="18"/>
          <w:szCs w:val="18"/>
          <w:lang w:val="pl-PL"/>
        </w:rPr>
        <w:t xml:space="preserve"> /  myjnia do butów</w:t>
      </w:r>
      <w:r w:rsidR="002563AD">
        <w:rPr>
          <w:rFonts w:asciiTheme="majorHAnsi" w:hAnsiTheme="majorHAnsi" w:cs="Arial"/>
          <w:sz w:val="18"/>
          <w:szCs w:val="18"/>
          <w:lang w:val="pl-PL"/>
        </w:rPr>
        <w:t>.</w:t>
      </w:r>
    </w:p>
    <w:p w:rsidR="009E2020" w:rsidRPr="00E37133" w:rsidRDefault="009E2020" w:rsidP="009E2020">
      <w:pPr>
        <w:rPr>
          <w:rFonts w:asciiTheme="majorHAnsi" w:hAnsiTheme="majorHAnsi"/>
          <w:lang w:eastAsia="pl-PL"/>
        </w:rPr>
      </w:pPr>
    </w:p>
    <w:tbl>
      <w:tblPr>
        <w:tblW w:w="5111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4193"/>
        <w:gridCol w:w="995"/>
        <w:gridCol w:w="1304"/>
        <w:gridCol w:w="1402"/>
        <w:gridCol w:w="1180"/>
        <w:gridCol w:w="1359"/>
        <w:gridCol w:w="752"/>
        <w:gridCol w:w="995"/>
        <w:gridCol w:w="1654"/>
      </w:tblGrid>
      <w:tr w:rsidR="00B9414A" w:rsidRPr="00E37133" w:rsidTr="004B67E0">
        <w:trPr>
          <w:trHeight w:val="105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6D26A2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Jednostka miary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Przewidywana ilość na okres</w:t>
            </w:r>
          </w:p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wa preparatu, producent, wielkość op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kowania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jednostkę miary w złotych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to za je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nostkę miary w złotych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Default="00B9414A" w:rsidP="00307B7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złotych</w:t>
            </w:r>
          </w:p>
          <w:p w:rsidR="004B67E0" w:rsidRDefault="004B67E0" w:rsidP="00307B7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B9414A" w:rsidRPr="00D81FC6" w:rsidRDefault="00B9414A" w:rsidP="00307B7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81FC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 4 x kol.9)</w:t>
            </w:r>
          </w:p>
          <w:p w:rsidR="00B9414A" w:rsidRPr="00E37133" w:rsidRDefault="00B9414A" w:rsidP="00307B72">
            <w:pPr>
              <w:ind w:right="355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B9414A" w:rsidRPr="00E37133" w:rsidTr="004B67E0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kol</w:t>
            </w:r>
            <w:proofErr w:type="spellEnd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kol. 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B9414A" w:rsidRPr="00E37133" w:rsidRDefault="00B9414A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4A" w:rsidRPr="00E37133" w:rsidRDefault="00B9414A" w:rsidP="009E2020">
            <w:pPr>
              <w:ind w:right="447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B9414A" w:rsidRPr="00E37133" w:rsidTr="004B67E0">
        <w:trPr>
          <w:trHeight w:val="14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Alkaliczny komponent dozowany łącznie z komp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nentem enzymatycznym w kroku mycia do myjni dezynfektor. Środek usuwający suchą zdenaturow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ną krew cechujący się bardzo dobrą tolerancją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teriałową dla wyrobów wykonanych ze stali ni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rdzewnej, anodowanego aluminium, wyrobów z tworzyw sztucznych. Dozowanie 0,5ml/l kąpieli.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roztworu 10,8-11,0. Środek przystosowany do st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sowania w Centralnym Systemie Dozowania wyp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sażonym w identyfikator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tagów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RFID, opakowanie kanister 5l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ind w:right="447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9414A" w:rsidRPr="00E37133" w:rsidTr="004B67E0">
        <w:trPr>
          <w:trHeight w:val="1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 Enzymatyczny komponent myjący dozowany łąc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z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nie z komponentem alkalicznym w kroku mycia do myjni dezynfektor. Środek usuwający suchą zden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turowaną krew cechujący się bardzo dobrą tolera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n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lastRenderedPageBreak/>
              <w:t xml:space="preserve">cją materiałową dla wyrobów wykonanych ze stali nierdzewnej, anodowanego aluminium, wyrobów z tworzyw sztucznych. Dozowanie 0,5ml/l kąpieli.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 roztworu 7,7-7,1. Środek przystosowany do stos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wania w Centralnym Systemie Dozowania wypos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żonym w identyfikator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tagów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 RFID</w:t>
            </w:r>
            <w:r w:rsidR="001F211A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. Opakowanie 5L.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ind w:right="447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9414A" w:rsidRPr="00E37133" w:rsidTr="004B67E0">
        <w:trPr>
          <w:trHeight w:val="1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3.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Płynny środek płuczący powierzchniowo czynny. Zawierający anionowe związki powierzchniowo czynne, niejonowe związki powierzchniowo czynne, środki konserwujące. Do użycia w myjniach dezy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n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fektorach. Do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bezzaciekowego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płukania, znacznie przyśpieszający suszenie po maszynowym myciu i dezynfekcji. Środek przystosowany do stosowania w Centralnym Systemie Dozowania wyposażonym w identyfikator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tagów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RFID</w:t>
            </w:r>
            <w:r w:rsidR="001F211A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. Opakowanie 5L.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ind w:right="447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Płynny w postaci koncentratu środek do wstępnego mycia i wstępnej dezynfekcji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termostabilnych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i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termolabilnych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narzędzi chirurgicznych, włącznie z endoskopami elastycznymi i narzędziami dent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y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stycznymi przed maszynową dekontaminacją a także mokrego transportu narzędzi chirurgicznych oraz do zastosowania w myjniach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ultradżwięk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wych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. Nie zawiera aldehydów oraz czwartorzęd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wych związków amoniowych. nie powoduje utwa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r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dzania białek. Działanie bakteriobójcze i grzybobó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j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cze 0,5% 5 min. 20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st.C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., wirusobójcze: osłonowe ( włącznie z HIV, HBV, HCV) 1,5% 10 min, 20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st.C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. lub 1%  30 min. 20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st.C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. Narzędzia w roztworze mogą być pozostawione do 72  godzin. opakowanie 5 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Płynny, słabo pieniący, neutralny środek dezynfe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k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cyjny o działaniu bakteriobójczym, grzybobójczym, wirusobójczym i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prątkobójczym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na bazie aldehydu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glutarowego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w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ilośći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10,5; szczególnie dobrze d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e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zynfekuje przedmioty z wrażliwych materiałów. Nie zawiera aldehydu mrówkowego oraz czwarto-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lastRenderedPageBreak/>
              <w:t xml:space="preserve">rzędowych związków amoniowych.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Op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5L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Preparat do ręcznej pielęgnacji narzędzi chirurgic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z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nych, zawiera biały olej (olej mineralny/płynna parafina), nie powoduje żadnych osadów, toksyk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logicznie bezpieczny. Skład &lt;5% niejonowe środki powierzchniowo czynne, 25-&lt;50% alifatyczne w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ę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glowodory, nie wpływający na proces sterylizacji parowej (rozpuszczalny w wodzie). Nie zawiera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chlorofluorowęglowodorów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(CFC) Pojemność op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kowania 400ml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Preparat w postaci płynnej gotowy do użycia prz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e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znaczony do pielęgnacji i nabłyszczania stali. Łatwo i skutecznie usuwający odciski palców, plamy i smugi. Środek mający doskonałe właściwości smarne z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wierający czysty olej parafinowy zgodny z wymag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niami przemysłu żywieniowego i farmaceutycznego. Gęstość 0,8 – 0,9 g/cm 3. Opakowanie do 1 L ze spryskiwaczem.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Środek myjący, płynny koncentrat zawierający związki alkaliczne, zawierający enzymy, zawierający środki powierzchniowo czynne. Zapobiega pono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nemu odkładaniu się białek. Skutecznie usuwa p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zostałości organiczne typu zaschnięta i zdenatur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wana krew • Intensywnie usuwa materiał organic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z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ny i zapobiega ponownemu odkładaniu się pozost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łości białkowych. Do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stosownania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w myjniach do obuwia operacyjnego</w:t>
            </w:r>
          </w:p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Pojemność 5L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Środek neutralizujący, płynny koncentrat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na bazie kwasów organicznych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,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nie zawiera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jący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 xml:space="preserve"> środków powierzchniowo czynnych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,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nie zawiera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jący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 xml:space="preserve"> fosforanów</w:t>
            </w:r>
          </w:p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Neutralizuje przeniesione pozostałości alkaliczne w maszynowej obróbce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,</w:t>
            </w:r>
            <w:r w:rsidRPr="00E37133">
              <w:rPr>
                <w:rFonts w:asciiTheme="majorHAnsi" w:hAnsiTheme="majorHAnsi" w:cs="Arial"/>
                <w:b w:val="0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przystosowany do standa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r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dowych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myjni-dezynfektorów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, kanister typu euro. Pojemność 5L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Płynny środek płuczący zawierający środki p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wierzchniowo czynne,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polikarboksylany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oraz środki konserwujące. Do użycia w myjniach dezynfektorach niezawierający oleju parafinowego oraz alkoholu i związków alkoholowych. Do szybkiego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bezzaciek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wego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 xml:space="preserve"> płukania, znacznie przyśpieszający suszenie po maszynowym myciu i dezynfekcji. dozowanie 0,3-1,0ml/l.. Kanister 5 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rPr>
          <w:trHeight w:val="108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 xml:space="preserve">Dzierżawa Centralnego Systemu Dozowania wyposażonego w pompy perystaltyczne oraz czytnik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tagów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 xml:space="preserve"> RFID umożliwiający dozowanie chemii procesowej do 2 myjni maszynowych MMM typu </w:t>
            </w: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>UniClean</w:t>
            </w:r>
            <w:proofErr w:type="spellEnd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  <w:t xml:space="preserve"> , oraz kalibracja stężeń środków do wymaganych przez producenta wartości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,  z możl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i</w:t>
            </w:r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pl-PL" w:eastAsia="en-US"/>
              </w:rPr>
              <w:t>wością rozszerzenia do 3 myjni</w:t>
            </w:r>
          </w:p>
          <w:p w:rsidR="00B9414A" w:rsidRPr="00E37133" w:rsidRDefault="00B9414A" w:rsidP="009E2020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miesiąc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4A" w:rsidRPr="00E37133" w:rsidRDefault="00B9414A" w:rsidP="009E202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:rsidR="00B9414A" w:rsidRPr="00E37133" w:rsidRDefault="00B9414A" w:rsidP="009E2020">
            <w:pPr>
              <w:spacing w:after="200"/>
              <w:rPr>
                <w:rFonts w:asciiTheme="majorHAnsi" w:hAnsiTheme="majorHAnsi" w:cs="Arial"/>
              </w:rPr>
            </w:pPr>
          </w:p>
        </w:tc>
      </w:tr>
      <w:tr w:rsidR="00B9414A" w:rsidRPr="00E37133" w:rsidTr="004B67E0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354" w:type="pct"/>
            <w:gridSpan w:val="6"/>
          </w:tcPr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</w:pPr>
          </w:p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</w:pPr>
            <w:r w:rsidRPr="00E37133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                                </w:t>
            </w:r>
            <w:r w:rsidRPr="00E37133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>Wartość ogółem w złotych:</w:t>
            </w:r>
          </w:p>
        </w:tc>
        <w:tc>
          <w:tcPr>
            <w:tcW w:w="470" w:type="pct"/>
          </w:tcPr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lang w:eastAsia="zh-CN" w:bidi="hi-IN"/>
              </w:rPr>
            </w:pPr>
          </w:p>
        </w:tc>
        <w:tc>
          <w:tcPr>
            <w:tcW w:w="260" w:type="pct"/>
            <w:shd w:val="clear" w:color="auto" w:fill="000000" w:themeFill="text1"/>
          </w:tcPr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lang w:eastAsia="zh-CN" w:bidi="hi-IN"/>
              </w:rPr>
            </w:pPr>
          </w:p>
        </w:tc>
        <w:tc>
          <w:tcPr>
            <w:tcW w:w="344" w:type="pct"/>
            <w:shd w:val="clear" w:color="auto" w:fill="000000" w:themeFill="text1"/>
          </w:tcPr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lang w:eastAsia="zh-CN" w:bidi="hi-IN"/>
              </w:rPr>
            </w:pPr>
          </w:p>
        </w:tc>
        <w:tc>
          <w:tcPr>
            <w:tcW w:w="572" w:type="pct"/>
          </w:tcPr>
          <w:p w:rsidR="00B9414A" w:rsidRPr="00E37133" w:rsidRDefault="00B9414A" w:rsidP="009E2020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lang w:eastAsia="zh-CN" w:bidi="hi-IN"/>
              </w:rPr>
            </w:pPr>
          </w:p>
        </w:tc>
      </w:tr>
    </w:tbl>
    <w:p w:rsidR="006435EC" w:rsidRPr="00E37133" w:rsidRDefault="006435EC" w:rsidP="000754AD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6435EC" w:rsidRPr="00E37133" w:rsidRDefault="006435EC" w:rsidP="000754AD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6435EC" w:rsidRPr="00E37133" w:rsidRDefault="006435EC" w:rsidP="000754AD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DC27CD" w:rsidRPr="00EE0AAD" w:rsidRDefault="00DC27CD" w:rsidP="000754AD">
      <w:pPr>
        <w:suppressAutoHyphens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DE1BBE" w:rsidRPr="00EE0AAD" w:rsidRDefault="00DC27CD" w:rsidP="00C530FC">
      <w:pPr>
        <w:suppressAutoHyphens/>
        <w:textAlignment w:val="baseline"/>
        <w:rPr>
          <w:rFonts w:asciiTheme="majorHAnsi" w:eastAsia="Arial" w:hAnsiTheme="majorHAnsi" w:cs="Arial"/>
          <w:b/>
          <w:kern w:val="2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Zamawiający zaleca zapisanie dokumentu w formacie PDF.</w:t>
      </w:r>
    </w:p>
    <w:p w:rsidR="007A586A" w:rsidRPr="00E37133" w:rsidRDefault="007A586A" w:rsidP="00C530FC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232011" w:rsidRPr="00E37133" w:rsidRDefault="00232011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232011" w:rsidRPr="00E37133" w:rsidRDefault="00232011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7A586A" w:rsidRPr="00E37133" w:rsidRDefault="007A586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PAKIET NR  </w:t>
      </w:r>
      <w:r w:rsidRPr="00E37133">
        <w:rPr>
          <w:rFonts w:asciiTheme="majorHAnsi" w:hAnsiTheme="majorHAnsi" w:cs="Arial"/>
          <w:sz w:val="18"/>
          <w:szCs w:val="18"/>
          <w:lang w:val="pl-PL"/>
        </w:rPr>
        <w:t>4</w:t>
      </w:r>
      <w:r w:rsidRPr="00E37133">
        <w:rPr>
          <w:rFonts w:asciiTheme="majorHAnsi" w:hAnsiTheme="majorHAnsi" w:cs="Arial"/>
          <w:sz w:val="18"/>
          <w:szCs w:val="18"/>
        </w:rPr>
        <w:t xml:space="preserve"> -  Mycie i dezynfekcja skóry, błon śluzowych</w:t>
      </w:r>
      <w:r w:rsidRPr="00E37133">
        <w:rPr>
          <w:rFonts w:asciiTheme="majorHAnsi" w:hAnsiTheme="majorHAnsi" w:cs="Arial"/>
          <w:sz w:val="18"/>
          <w:szCs w:val="18"/>
          <w:lang w:val="pl-PL"/>
        </w:rPr>
        <w:t>.</w:t>
      </w:r>
    </w:p>
    <w:p w:rsidR="009E2020" w:rsidRPr="00E37133" w:rsidRDefault="009E2020" w:rsidP="009E2020">
      <w:pPr>
        <w:rPr>
          <w:rFonts w:asciiTheme="majorHAnsi" w:hAnsiTheme="majorHAnsi"/>
          <w:lang w:eastAsia="pl-PL"/>
        </w:rPr>
      </w:pPr>
    </w:p>
    <w:tbl>
      <w:tblPr>
        <w:tblW w:w="526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585"/>
        <w:gridCol w:w="893"/>
        <w:gridCol w:w="1030"/>
        <w:gridCol w:w="1658"/>
        <w:gridCol w:w="1149"/>
        <w:gridCol w:w="9"/>
        <w:gridCol w:w="1384"/>
        <w:gridCol w:w="845"/>
        <w:gridCol w:w="1277"/>
        <w:gridCol w:w="1417"/>
      </w:tblGrid>
      <w:tr w:rsidR="006D26A2" w:rsidRPr="00E37133" w:rsidTr="00B57AAD">
        <w:trPr>
          <w:trHeight w:val="59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Jednos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ka miary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Przewid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wana ilość na okres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prod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u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cent, wielkość opakowania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jednostkę miary</w:t>
            </w:r>
            <w:r w:rsidR="00E76F41"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w złotych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E76F41" w:rsidRPr="00E37133" w:rsidRDefault="00E76F41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E76F41" w:rsidRPr="00E37133" w:rsidRDefault="00E76F41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6D26A2" w:rsidRPr="00E37133" w:rsidTr="00B57AAD">
        <w:trPr>
          <w:trHeight w:val="13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kol</w:t>
            </w:r>
            <w:proofErr w:type="spellEnd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kol. 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6435EC" w:rsidRPr="00E37133" w:rsidRDefault="006435EC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6D26A2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6D26A2" w:rsidRPr="00E37133" w:rsidTr="00B57AAD">
        <w:trPr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Bezbarwny preparat do odkażania skóry przed zabiegami chirurgicznymi, diagnostycznymi, oznaczenia pola oper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cyjnego oraz przed iniekcjami, pobieraniem krwi i bio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sjami 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autosterylny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(tzn. brak możliwości skażenia 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duktu mimo wielokrotnego otwierania pojemnika i/lub przelewania  do mniejszych opakowań). Skuteczny wobec płynów ustrojowych, oparty o alkohol etylowy,  izoprop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lowy, benzylowy i nadtlenek wodoru, bez zawartości jodu i pochodnych fenolowych,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6,0-7,0. Spektrum: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F, V (w tym: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Rota,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Herpes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HIV)  poj. 350ml z atom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zerem. Produkt leczniczy. 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63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2.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Bezbarwny preparat do odkażania skóry przed zabiegami chirurgicznymi, diagnostycznymi, oznaczenia pola oper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cyjnego oraz przed iniekcjami, pobieraniem krwi i bio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sjami 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autosterylny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(tzn. brak możliwości skażenia 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duktu mimo wielokrotnego otwierania pojemnika i/lub przelewania  do mniejszych opakowań). Skuteczny wobec płynów ustrojowych, oparty o alkohol etylowy,  izoprop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lowy, benzylowy i nadtlenek wodoru, bez zawartości jodu i pochodnych fenolowych,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6,0-7,0. Spektrum: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F, V (w tym: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Rota,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Herpes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HIV)  poj.  5 L. Produkt leczniczy.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50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3.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Barwiony preparat do odkażania skóry przed zabiegami chirurgicznymi, diagnostycznymi, oznaczenia pola oper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cyjnego oraz przed iniekcjami, pobieraniem krwi i bio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sjami 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autosterylny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(tzn. brak możliwości skażenia 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duktu mimo wielokrotnego otwierania pojemnika i/lub przelewania  do mniejszych opakowań). Skuteczny wobec płynów ustrojowych, oparty o alkohol etylowy,  izoprop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lowy, benzylowy i nadtlenek wodoru, bez zawartości jodu i pochodnych fenolowych,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6,0-7,0. Spektrum: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F, V (w tym: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Rota,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Herpes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HIV)  poj. 1L z atomiz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rem. Produkt leczniczy.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50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4.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Barwiony preparat do odkażania skóry przed zabiegami chirurgicznymi, diagnostycznymi, oznaczenia pola</w:t>
            </w:r>
            <w:r w:rsidRPr="00E37133">
              <w:rPr>
                <w:rFonts w:asciiTheme="majorHAnsi" w:eastAsia="Arial" w:hAnsiTheme="majorHAnsi" w:cs="Arial"/>
                <w:color w:val="000000"/>
                <w:sz w:val="18"/>
                <w:szCs w:val="18"/>
              </w:rPr>
              <w:t xml:space="preserve">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oper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cyjnego oraz przed iniekcjami, pobieraniem krwi i bio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sjami 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autosterylny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(tzn. brak możliwości skażenia 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duktu mimo wielokrotnego otwierania pojemnika i/lub przelewania  do mniejszych opakowań). Skuteczny wobec płynów ustrojowych, oparty o alkohol etylowy,  izoprop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lowy, benzylowy i nadtlenek wodoru, bez zawartości jodu i pochodnych fenolowych,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6,0-7,0. Spektrum: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F, V (w tym: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Rota,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Herpes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HIV) Kanister poj. 5 L. Produkt leczniczy.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Sterylny, gotowy  do użycia roztwór służący do irygacji, czyszczenia, nawilżania ran ostrych,  usuwania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biofilmu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z rany w sposób zapewniający ochronę tkanki; do błon śluzowych przed cewnikowaniem , do pielęgnacji skóry wokół dostępów naczyniowych obwodowych i centra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nych oraz dostępów do przewodu pokarmowego PEG,PEJ, bezzapachowy, zawierający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poliheksanidynę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betainę; bez zawartości dodatkowych substancji czynnych takich jak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jodopowidon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oktenidyna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Chlorheksydyna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glicerol. Wykazujący skuteczność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bójczą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wobec szczepów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wiel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lekopornych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Możliwość stosowania: u dzieci od 1 dnia życia, . Po otwarciu możliwość stosowania przez 8 tyg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dni. Wyrób medyczny 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klasy III. Op</w:t>
            </w: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1000 ml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Sterylny, gotowy  do użycia roztwór służący do irygacji, czyszczenia, nawilżania ran ostrych,  usuwania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biofilmu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z rany w sposób zapewniający ochronę tkanki; do błon śluzowych przed cewnikowaniem , do pielęgnacji skóry wokół dostępów naczyniowych obwodowych i centra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nych oraz dostępów do przewodu pokarmowego PEG,PEJ, bezzapachowy, zawierający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poliheksanidynę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betainę; bez zawartości dodatkowych substancji czynnych takich jak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jodopowidon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oktenidyna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Chlorheksydyna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glicerol. Wykazujący skuteczność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bójczą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wobec szczepów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wiel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lekopornych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Możliwość stosowania: u dzieci od 1 dnia życia, . Po otwarciu możliwość stosowania przez 8 tyg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dni. Wyrób medyczny 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klasy III. Op. 350 ml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opak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63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Gotowy do użycia roztwór przeznaczony do dekontam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nacji, płukania, pędzlowania jamy ustnej, utrzymania flory fizjologicznej ust i codziennej higieny jamy ustnej; na bazie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poliheksanidyny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bez zawartości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octenidyny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alkoholu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chlorheksydyny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,do zastosowania na uszk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dzoną tkankę, możliwość stosowania u dzieci, skuteczny na bakterie (w tym MDRO Multi-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Drug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Resistant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Org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nism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np.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Staphylococcus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aureus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MRSA;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Enterococcus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hirae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Pseudomonas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aeruginosa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Acinetobacter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bauma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nii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Enterococcus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faecium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(VRE);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Klebsiella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pneumoniae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(ESBL)) oraz grzyby (Candida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). Wyrób medyc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z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 klasy III.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Op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250 ml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Preparat przeznaczony do</w:t>
            </w:r>
            <w:r w:rsidRPr="00E37133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skutecznej dekolonizacji, przy jednoczesnej pielęgnacji skóry pacjenta i personelu, m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cia rąk i ciała, posiadający również skuteczność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bójczą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wobec B, (również MRGN, MRSA,), candida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albicans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V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osłoniowe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 HBV,HCV,HIV), w czasie do 1 minuty, sk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teczny wobec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Klebsiella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NDM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wieloopornej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E coli. Z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wierający substancje pielęgnujące, posiadający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ne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tralne dla skóry. Opakowanie o poj. 500ml.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opak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2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Pompka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spieniajaca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do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poz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7. Jednostka -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44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Gotowy do użycia, bezbarwny preparat do odkażania błon śluzowych i graniczących z nimi skóry przed: oper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cjami, zabiegami ginekologicznymi i położniczymi, ce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nikowaniem pęcherza moczowego, zabiegami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przezce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kowymi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; na bazie etanolu, nadtlenku wodoru i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diglik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nianu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chlorheksydyny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; nie zawiera jodu i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fenoksyetanolu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oktenidyny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; spektrum: B, F, V, (HIV, HBV,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Herpes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Simplex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 ), pierwotniaki; rejestracja: lek.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Op. 500ml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44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Preparat do odkażania i wspomagającego leczenia m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łych, powierzchownych ran oraz dezynfekcji skóry przed zabiegami niechirurgicznymi; wspomagającego postęp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wania antyseptycznego w obrębie zamkniętych powłok skórnych po zabiegach – np. szwów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pozabiegowych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; wielokrotnego, krótkotrwałego leczenia antyseptycznego w obrębie błon śluzowych i sąsiadujących tkanek przed i po procedurach diagnostycznych w obrębie narządów płciowych i odbytu, w tym pochwy, sromu i żołędzi pr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ą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cia, a także przed cewnikowaniem pęcherza moczowego; w pediatrii (m. in. do pielęgnacji kikuta pępowinowego); do dezynfekcji jamy ustnej (np. afty, podrażnienia sp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wodowane noszeniem aparatu ortodontycznego lub protezy dentystycznej); ograniczonego czasowo, wsp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magającego leczenia antyseptycznego grzybicy międz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palcowej; w obrębie narządów rodnych np. stanach z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palnych pochwy, a także w obrębie żołędzi prącia mę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ż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czyzny (wskazania potwierdzone w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ChPL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). Bez zawart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ści jodu i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chlorheksydyny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. Gotowy do użycia.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Bezbar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ny.Op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. 250ml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D26A2" w:rsidRPr="00E37133" w:rsidTr="00B57AAD">
        <w:trPr>
          <w:trHeight w:val="63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3E1774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Gotowy do użycia preparat do zmywania pozostałości kleju po plastrach mocujących, opatrunkach, plam jodu,  gipsu. Nie zawierający zasad i mydła. Zawierający nat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u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ralny olej z pomarańczy oraz </w:t>
            </w:r>
            <w:proofErr w:type="spellStart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oleinian</w:t>
            </w:r>
            <w:proofErr w:type="spellEnd"/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 xml:space="preserve"> decylu. Zarejestr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wany jako wyrób medyczny.</w:t>
            </w:r>
          </w:p>
          <w:p w:rsidR="007A586A" w:rsidRPr="00E37133" w:rsidRDefault="007A586A" w:rsidP="006D26A2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lastRenderedPageBreak/>
              <w:t>opakowanie  500 ml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6D26A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B57AAD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3346" w:type="pct"/>
            <w:gridSpan w:val="7"/>
          </w:tcPr>
          <w:p w:rsidR="00B57AAD" w:rsidRPr="00E37133" w:rsidRDefault="00B57AAD" w:rsidP="006D26A2">
            <w:pPr>
              <w:pStyle w:val="Nagwek3"/>
              <w:ind w:left="567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  <w:p w:rsidR="00B57AAD" w:rsidRPr="00E37133" w:rsidRDefault="00B57AAD" w:rsidP="00B57AAD">
            <w:pPr>
              <w:rPr>
                <w:rFonts w:asciiTheme="majorHAnsi" w:hAnsiTheme="majorHAnsi"/>
                <w:b/>
                <w:lang w:eastAsia="pl-PL"/>
              </w:rPr>
            </w:pPr>
            <w:r w:rsidRPr="00E37133">
              <w:rPr>
                <w:rFonts w:asciiTheme="majorHAnsi" w:hAnsiTheme="majorHAnsi"/>
                <w:b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r w:rsidR="00E37133">
              <w:rPr>
                <w:rFonts w:asciiTheme="majorHAnsi" w:hAnsiTheme="majorHAnsi"/>
                <w:b/>
                <w:lang w:eastAsia="pl-PL"/>
              </w:rPr>
              <w:t xml:space="preserve">                                   </w:t>
            </w:r>
            <w:r w:rsidRPr="00E37133">
              <w:rPr>
                <w:rFonts w:asciiTheme="majorHAnsi" w:hAnsiTheme="majorHAnsi"/>
                <w:b/>
                <w:lang w:eastAsia="pl-PL"/>
              </w:rPr>
              <w:t>Wartość ogółem w złotych:</w:t>
            </w:r>
          </w:p>
        </w:tc>
        <w:tc>
          <w:tcPr>
            <w:tcW w:w="465" w:type="pct"/>
          </w:tcPr>
          <w:p w:rsidR="00B57AAD" w:rsidRPr="00E37133" w:rsidRDefault="00B57AAD" w:rsidP="006D26A2">
            <w:pPr>
              <w:pStyle w:val="Nagwek3"/>
              <w:ind w:left="567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  <w:tc>
          <w:tcPr>
            <w:tcW w:w="284" w:type="pct"/>
            <w:shd w:val="clear" w:color="auto" w:fill="000000" w:themeFill="text1"/>
          </w:tcPr>
          <w:p w:rsidR="00B57AAD" w:rsidRPr="00E37133" w:rsidRDefault="00B57AAD" w:rsidP="006D26A2">
            <w:pPr>
              <w:pStyle w:val="Nagwek3"/>
              <w:ind w:left="567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  <w:tc>
          <w:tcPr>
            <w:tcW w:w="429" w:type="pct"/>
            <w:shd w:val="clear" w:color="auto" w:fill="000000" w:themeFill="text1"/>
          </w:tcPr>
          <w:p w:rsidR="00B57AAD" w:rsidRPr="00E37133" w:rsidRDefault="00B57AAD" w:rsidP="006D26A2">
            <w:pPr>
              <w:pStyle w:val="Nagwek3"/>
              <w:ind w:left="567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  <w:tc>
          <w:tcPr>
            <w:tcW w:w="476" w:type="pct"/>
          </w:tcPr>
          <w:p w:rsidR="00B57AAD" w:rsidRPr="00E37133" w:rsidRDefault="00B57AAD" w:rsidP="006D26A2">
            <w:pPr>
              <w:pStyle w:val="Nagwek3"/>
              <w:ind w:left="567"/>
              <w:rPr>
                <w:rFonts w:asciiTheme="majorHAnsi" w:hAnsiTheme="majorHAnsi" w:cs="Arial"/>
                <w:sz w:val="18"/>
                <w:szCs w:val="18"/>
                <w:lang w:val="pl-PL"/>
              </w:rPr>
            </w:pPr>
          </w:p>
        </w:tc>
      </w:tr>
    </w:tbl>
    <w:p w:rsidR="007A586A" w:rsidRPr="00E37133" w:rsidRDefault="007A586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7A586A" w:rsidRPr="00E37133" w:rsidRDefault="007A586A" w:rsidP="007A586A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7A586A" w:rsidRPr="00E37133" w:rsidRDefault="007A586A" w:rsidP="007A586A">
      <w:pPr>
        <w:pStyle w:val="Nagwek3"/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PAKIET NR  </w:t>
      </w:r>
      <w:r w:rsidRPr="00E37133">
        <w:rPr>
          <w:rFonts w:asciiTheme="majorHAnsi" w:hAnsiTheme="majorHAnsi" w:cs="Arial"/>
          <w:sz w:val="18"/>
          <w:szCs w:val="18"/>
          <w:lang w:val="pl-PL"/>
        </w:rPr>
        <w:t xml:space="preserve">5 </w:t>
      </w:r>
      <w:r w:rsidRPr="00E37133">
        <w:rPr>
          <w:rFonts w:asciiTheme="majorHAnsi" w:hAnsiTheme="majorHAnsi" w:cs="Arial"/>
          <w:sz w:val="18"/>
          <w:szCs w:val="18"/>
        </w:rPr>
        <w:t>-  Mycie i dezynfekcja rąk</w:t>
      </w:r>
      <w:r w:rsidRPr="00E37133">
        <w:rPr>
          <w:rFonts w:asciiTheme="majorHAnsi" w:hAnsiTheme="majorHAnsi" w:cs="Arial"/>
          <w:sz w:val="18"/>
          <w:szCs w:val="18"/>
          <w:lang w:val="pl-PL"/>
        </w:rPr>
        <w:t>.</w:t>
      </w:r>
      <w:r w:rsidRPr="00E37133">
        <w:rPr>
          <w:rFonts w:asciiTheme="majorHAnsi" w:hAnsiTheme="majorHAnsi" w:cs="Arial"/>
          <w:sz w:val="18"/>
          <w:szCs w:val="18"/>
        </w:rPr>
        <w:t xml:space="preserve"> </w:t>
      </w:r>
    </w:p>
    <w:p w:rsidR="007A586A" w:rsidRPr="00E37133" w:rsidRDefault="007A586A" w:rsidP="007A586A">
      <w:pPr>
        <w:rPr>
          <w:rFonts w:asciiTheme="majorHAnsi" w:hAnsiTheme="majorHAnsi" w:cs="Arial"/>
          <w:sz w:val="18"/>
          <w:szCs w:val="18"/>
        </w:rPr>
      </w:pPr>
    </w:p>
    <w:tbl>
      <w:tblPr>
        <w:tblW w:w="5256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538"/>
        <w:gridCol w:w="850"/>
        <w:gridCol w:w="993"/>
        <w:gridCol w:w="1698"/>
        <w:gridCol w:w="1136"/>
        <w:gridCol w:w="1415"/>
        <w:gridCol w:w="853"/>
        <w:gridCol w:w="1276"/>
        <w:gridCol w:w="1401"/>
      </w:tblGrid>
      <w:tr w:rsidR="00B57AAD" w:rsidRPr="00E37133" w:rsidTr="002A3CD8">
        <w:trPr>
          <w:trHeight w:val="84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Jednos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ka miary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dywana ilość na okres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prod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u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cent, wielkość op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kowania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2" w:rsidRPr="00E37133" w:rsidRDefault="007A586A" w:rsidP="002A3C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jednostkę miary</w:t>
            </w:r>
            <w:r w:rsidR="00984762"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w złotych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984762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E76F41" w:rsidRPr="00E37133" w:rsidRDefault="00E76F41" w:rsidP="002A3CD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B57AAD" w:rsidRPr="00E37133" w:rsidTr="002A3CD8">
        <w:trPr>
          <w:trHeight w:val="4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ol</w:t>
            </w:r>
            <w:proofErr w:type="spellEnd"/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</w:t>
            </w:r>
            <w:r w:rsidR="006435EC"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ol. 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2A3CD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sz w:val="18"/>
                <w:szCs w:val="18"/>
              </w:rPr>
              <w:t>ol. 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ol.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2A3C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6435EC" w:rsidRPr="00E37133" w:rsidRDefault="00984762" w:rsidP="002A3C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ol. 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ol. 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ol. 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6435EC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ol. 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ol. 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EC" w:rsidRPr="00E37133" w:rsidRDefault="00984762" w:rsidP="002A3CD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</w:t>
            </w:r>
            <w:r w:rsidR="006435EC"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ol. 10</w:t>
            </w:r>
          </w:p>
        </w:tc>
      </w:tr>
      <w:tr w:rsidR="00B57AAD" w:rsidRPr="00E37133" w:rsidTr="002A3CD8">
        <w:trPr>
          <w:trHeight w:val="1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Preparat do higienicznej i chirurgicznej dezynfekcji rąk na bazie etanolu (min. 89%), bez zawartości jodu,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heksydyny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izopropanolu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fenolu i jego pochodnych; preparat bezbarwny zawierający substancje nawilżające, pielęgnujące i regenerujące skórę, takie, jak witamina E,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pantenol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gliceryna, substancje zapachowe; higieniczna dezynfekcja rąk zgodnie z normą EN 1500 w ciągu 20s; chirurgiczna dezynfekcja rąk zgodnie z normą EN 12791 w ciągu 90s. Spełniający normy: EN 1500, EN 12791, EN 13727, EN 13624, EN 14476, EN14348 oraz RKI; spe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trum działania: B – 15s., F – 15s.,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– 20s., V (wszystkie wirusy osłonione łącznie z HBV, HCV, HIV, Rota, Noro (mysi) – 15s.,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Polio – 30s.). Opakowanie 500ml.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2A3CD8">
        <w:trPr>
          <w:trHeight w:val="1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Preparat do higienicznej i chirurgicznej dezynfekcji rąk na bazie etanolu (min. 89%), bez zawartości jodu,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chlo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heksydyny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izopropanolu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fenolu i jego pochodnych; preparat bezbarwny zawierający substancje nawilżające, pielęgnujące i regenerujące skórę, takie, jak witamina E,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pantenol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i gliceryna, substancje zapachowe; higieniczna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dezynfekcja rąk zgodnie z normą EN 1500 w ciągu 20s; chirurgiczna dezynfekcja rąk zgodnie z normą EN 12791 w ciągu 90s. Spełniający normy: EN 1500, EN 12791, EN 13727, EN 13624, EN 14476, EN14348 oraz RKI; spe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trum działania: B – 15s., F – 15s.,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– 20s., V (wszystkie wirusy osłonione łącznie z HBV, HCV, HIV, Rota, Noro (mysi) – 15s.,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Adeno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, Polio – 30s.). opakowanie 5l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opak.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600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2A3CD8">
        <w:trPr>
          <w:trHeight w:val="42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3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Żel alkoholowy (alkohol etylowy CAS 64-17-5 - 80g w 100 g preparatu) do higienicznej (30s)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chirurkicznej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(90s) dezynfekcji rąk; do skóry wrażliwej - przetestow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ny dermatologicznie; bez zapachu i barwników; opak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wanie 500ml pasujące do dozowników </w:t>
            </w:r>
            <w:r w:rsidR="00EC1AA9" w:rsidRPr="00E37133">
              <w:rPr>
                <w:rFonts w:asciiTheme="majorHAnsi" w:hAnsiTheme="majorHAnsi" w:cs="Arial"/>
                <w:sz w:val="18"/>
                <w:szCs w:val="18"/>
              </w:rPr>
              <w:t xml:space="preserve">typu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Dermados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(wymagane poświadczenie producenta dozowników o kompatybilności); Skuteczność: B,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V (Polio,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Noro i wirusy osłonione.) - 30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sek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; przebadany zgo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nie z normami EN 1500, EN 12791, EN 13727, EN 13624, EN 14348, EN 14476. Opakowanie 500ml.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2A3CD8">
        <w:trPr>
          <w:trHeight w:val="12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Żel alkoholowy (alkohol etylowy CAS 64-17-5 - 80g w 100 g preparatu) do higienicznej (30s) i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chirurkicznej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(90s) dezynfekcji rąk; do skóry wrażliwej - przetestow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ny dermatologicznie; bez zapachu i barwników; opak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wanie 500ml pasujące do dozowników </w:t>
            </w:r>
            <w:r w:rsidR="00EC1AA9" w:rsidRPr="00E37133">
              <w:rPr>
                <w:rFonts w:asciiTheme="majorHAnsi" w:hAnsiTheme="majorHAnsi" w:cs="Arial"/>
                <w:sz w:val="18"/>
                <w:szCs w:val="18"/>
              </w:rPr>
              <w:t xml:space="preserve">typu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Dermados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(wymagane poświadczenie producenta dozowników o kompatybilności); Skuteczność: B, F,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V (Polio,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Ad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Noro i wirusy osłonione.) - 30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sek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; przebadany zgo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nie z normami EN 1500, EN 12791, EN 13727, EN 13624, EN 14348, EN 14476. Opakowanie 5l.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opak.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2A3CD8">
        <w:trPr>
          <w:trHeight w:val="12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Przebadany dermatologiczne preparat myjący do chiru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gicznego i higienicznego mycia rąk, niealkaliczny na bazie syntetycznych składników, o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5,0, zawierający substancje nawilżające, zapachowe oraz formułę APG; posiadający doskonałe właściwości pielęgnujące i myjące (usuwa pozostałości po maściach); nadający się również do mycia ciała i kąpieli pod prysznicem; konfekcjonow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 w but. 500ml pasujące do dozownika typu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Dermados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preparat powinien być kompatybilny z preparatem do dezynfekcji rąk - pochodzący od jednego producenta. Opakowanie 500ml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opak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</w:tr>
      <w:tr w:rsidR="00B57AAD" w:rsidRPr="00E37133" w:rsidTr="002A3CD8">
        <w:trPr>
          <w:trHeight w:val="12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Przebadany dermatologiczne preparat myjący do chiru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gicznego i higienicznego mycia rąk, niealkaiczny na bazie syntetycznych składników, o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5,0, zawierający su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b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stancje nawilżające, zapachowe oraz formułę APG; p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siadający doskonałe właściwości pielęgnujące i myjące (usuwa pozostałości po maściach); nadający się również do mycia ciała i kąpieli pod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prysznicem,preparat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pow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nien być kompatybilny z preparatem do dezynfekcji rąk - pochodzący od jednego producenta. Opakowanie 6l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</w:tr>
      <w:tr w:rsidR="00B57AAD" w:rsidRPr="00E37133" w:rsidTr="002A3CD8">
        <w:trPr>
          <w:trHeight w:val="12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Emulsja wody w oleju o działaniu natłuszczającym, ochronnym i regenerującym skórę; zawiera witaminę E i glicerynę;  w opakowaniu 500ml; preparat kompatybilny z produktami do dezynfekcji i mycia rąk, pochodzący od jednego producenta.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57AAD" w:rsidRPr="00E37133" w:rsidTr="002A3CD8">
        <w:trPr>
          <w:trHeight w:val="12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Dozownik łokciowy wyposażony w pompkę z możliw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ścią regulacji dozowanej ilości preparatu w przedziale od 0,5 do 1,5 ml. z obudowę łatwą do utrzymania w czyst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ści. Przystosowany do  butelek 500 ml z wybranym pr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duktem, z możliwością  szybkiego demontażu całego dyspozytora (np. w celu umycia lub zdezynfekowania ściany) bez konieczności odkręcania śrubek. Op. 1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2A3CD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A3CD8" w:rsidRPr="00E37133" w:rsidTr="002A3CD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337" w:type="pct"/>
            <w:gridSpan w:val="6"/>
          </w:tcPr>
          <w:p w:rsidR="002A3CD8" w:rsidRPr="00E37133" w:rsidRDefault="002A3CD8" w:rsidP="002A3CD8">
            <w:pPr>
              <w:ind w:left="567"/>
              <w:rPr>
                <w:rFonts w:asciiTheme="majorHAnsi" w:hAnsiTheme="majorHAnsi" w:cs="Arial"/>
              </w:rPr>
            </w:pPr>
          </w:p>
          <w:p w:rsidR="002A3CD8" w:rsidRPr="00E37133" w:rsidRDefault="002A3CD8" w:rsidP="002A3CD8">
            <w:pPr>
              <w:pStyle w:val="Nagwek3"/>
              <w:ind w:left="567"/>
              <w:rPr>
                <w:rFonts w:asciiTheme="majorHAnsi" w:hAnsiTheme="majorHAnsi" w:cs="Arial"/>
                <w:lang w:val="pl-PL"/>
              </w:rPr>
            </w:pPr>
            <w:r w:rsidRPr="00E37133">
              <w:rPr>
                <w:rFonts w:asciiTheme="majorHAnsi" w:hAnsiTheme="majorHAnsi" w:cs="Arial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7E76DF">
              <w:rPr>
                <w:rFonts w:asciiTheme="majorHAnsi" w:hAnsiTheme="majorHAnsi" w:cs="Arial"/>
                <w:lang w:val="pl-PL"/>
              </w:rPr>
              <w:t xml:space="preserve">               </w:t>
            </w:r>
            <w:r w:rsidRPr="00E37133">
              <w:rPr>
                <w:rFonts w:asciiTheme="majorHAnsi" w:hAnsiTheme="majorHAnsi" w:cs="Arial"/>
                <w:lang w:val="pl-PL"/>
              </w:rPr>
              <w:t xml:space="preserve"> Wartość ogółem w złotych:</w:t>
            </w:r>
          </w:p>
        </w:tc>
        <w:tc>
          <w:tcPr>
            <w:tcW w:w="476" w:type="pct"/>
          </w:tcPr>
          <w:p w:rsidR="002A3CD8" w:rsidRPr="00E37133" w:rsidRDefault="002A3CD8">
            <w:pPr>
              <w:spacing w:after="200"/>
              <w:rPr>
                <w:rFonts w:asciiTheme="majorHAnsi" w:eastAsia="Times New Roman" w:hAnsiTheme="majorHAnsi" w:cs="Arial"/>
                <w:b/>
                <w:szCs w:val="24"/>
                <w:lang w:val="x-none" w:eastAsia="pl-PL"/>
              </w:rPr>
            </w:pPr>
          </w:p>
          <w:p w:rsidR="002A3CD8" w:rsidRPr="00E37133" w:rsidRDefault="002A3CD8" w:rsidP="002A3CD8">
            <w:pPr>
              <w:pStyle w:val="Nagwek3"/>
              <w:rPr>
                <w:rFonts w:asciiTheme="majorHAnsi" w:hAnsiTheme="majorHAnsi" w:cs="Arial"/>
              </w:rPr>
            </w:pPr>
          </w:p>
        </w:tc>
        <w:tc>
          <w:tcPr>
            <w:tcW w:w="287" w:type="pct"/>
            <w:shd w:val="clear" w:color="auto" w:fill="000000" w:themeFill="text1"/>
          </w:tcPr>
          <w:p w:rsidR="002A3CD8" w:rsidRPr="00E37133" w:rsidRDefault="002A3CD8">
            <w:pPr>
              <w:spacing w:after="200"/>
              <w:rPr>
                <w:rFonts w:asciiTheme="majorHAnsi" w:eastAsia="Times New Roman" w:hAnsiTheme="majorHAnsi" w:cs="Arial"/>
                <w:b/>
                <w:szCs w:val="24"/>
                <w:lang w:val="x-none" w:eastAsia="pl-PL"/>
              </w:rPr>
            </w:pPr>
          </w:p>
          <w:p w:rsidR="002A3CD8" w:rsidRPr="00E37133" w:rsidRDefault="002A3CD8" w:rsidP="002A3CD8">
            <w:pPr>
              <w:pStyle w:val="Nagwek3"/>
              <w:rPr>
                <w:rFonts w:asciiTheme="majorHAnsi" w:hAnsiTheme="majorHAnsi" w:cs="Arial"/>
              </w:rPr>
            </w:pPr>
          </w:p>
        </w:tc>
        <w:tc>
          <w:tcPr>
            <w:tcW w:w="429" w:type="pct"/>
            <w:shd w:val="clear" w:color="auto" w:fill="000000" w:themeFill="text1"/>
          </w:tcPr>
          <w:p w:rsidR="002A3CD8" w:rsidRPr="00E37133" w:rsidRDefault="002A3CD8">
            <w:pPr>
              <w:spacing w:after="200"/>
              <w:rPr>
                <w:rFonts w:asciiTheme="majorHAnsi" w:eastAsia="Times New Roman" w:hAnsiTheme="majorHAnsi" w:cs="Arial"/>
                <w:b/>
                <w:szCs w:val="24"/>
                <w:lang w:val="x-none" w:eastAsia="pl-PL"/>
              </w:rPr>
            </w:pPr>
          </w:p>
          <w:p w:rsidR="002A3CD8" w:rsidRPr="00E37133" w:rsidRDefault="002A3CD8" w:rsidP="002A3CD8">
            <w:pPr>
              <w:pStyle w:val="Nagwek3"/>
              <w:rPr>
                <w:rFonts w:asciiTheme="majorHAnsi" w:hAnsiTheme="majorHAnsi" w:cs="Arial"/>
              </w:rPr>
            </w:pPr>
          </w:p>
        </w:tc>
        <w:tc>
          <w:tcPr>
            <w:tcW w:w="471" w:type="pct"/>
          </w:tcPr>
          <w:p w:rsidR="002A3CD8" w:rsidRPr="00E37133" w:rsidRDefault="002A3CD8">
            <w:pPr>
              <w:spacing w:after="200"/>
              <w:rPr>
                <w:rFonts w:asciiTheme="majorHAnsi" w:eastAsia="Times New Roman" w:hAnsiTheme="majorHAnsi" w:cs="Arial"/>
                <w:b/>
                <w:szCs w:val="24"/>
                <w:lang w:val="x-none" w:eastAsia="pl-PL"/>
              </w:rPr>
            </w:pPr>
          </w:p>
          <w:p w:rsidR="002A3CD8" w:rsidRPr="00E37133" w:rsidRDefault="002A3CD8" w:rsidP="002A3CD8">
            <w:pPr>
              <w:pStyle w:val="Nagwek3"/>
              <w:rPr>
                <w:rFonts w:asciiTheme="majorHAnsi" w:hAnsiTheme="majorHAnsi" w:cs="Arial"/>
              </w:rPr>
            </w:pPr>
          </w:p>
        </w:tc>
      </w:tr>
    </w:tbl>
    <w:p w:rsidR="00316E38" w:rsidRDefault="00316E38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316E38" w:rsidRDefault="00316E38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316E38" w:rsidRDefault="00316E38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316E38" w:rsidRDefault="00316E38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316E38" w:rsidRDefault="00316E38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:rsidR="007A586A" w:rsidRDefault="007A586A" w:rsidP="00DD1737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PAKIET NR  </w:t>
      </w:r>
      <w:r w:rsidRPr="00E37133">
        <w:rPr>
          <w:rFonts w:asciiTheme="majorHAnsi" w:hAnsiTheme="majorHAnsi" w:cs="Arial"/>
          <w:sz w:val="18"/>
          <w:szCs w:val="18"/>
          <w:lang w:val="pl-PL"/>
        </w:rPr>
        <w:t xml:space="preserve">6 </w:t>
      </w:r>
      <w:r w:rsidRPr="00E37133">
        <w:rPr>
          <w:rFonts w:asciiTheme="majorHAnsi" w:hAnsiTheme="majorHAnsi" w:cs="Arial"/>
          <w:sz w:val="18"/>
          <w:szCs w:val="18"/>
        </w:rPr>
        <w:t xml:space="preserve"> -  Maszynowe mycie i dezynfekcja </w:t>
      </w:r>
      <w:r w:rsidR="003745C2">
        <w:rPr>
          <w:rFonts w:asciiTheme="majorHAnsi" w:hAnsiTheme="majorHAnsi" w:cs="Arial"/>
          <w:sz w:val="18"/>
          <w:szCs w:val="18"/>
          <w:lang w:val="pl-PL"/>
        </w:rPr>
        <w:t>-myjnie do basenów.</w:t>
      </w:r>
    </w:p>
    <w:p w:rsidR="003745C2" w:rsidRPr="003745C2" w:rsidRDefault="003745C2" w:rsidP="003745C2">
      <w:pPr>
        <w:rPr>
          <w:lang w:eastAsia="pl-PL"/>
        </w:rPr>
      </w:pPr>
    </w:p>
    <w:tbl>
      <w:tblPr>
        <w:tblW w:w="526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537"/>
        <w:gridCol w:w="851"/>
        <w:gridCol w:w="991"/>
        <w:gridCol w:w="1703"/>
        <w:gridCol w:w="1137"/>
        <w:gridCol w:w="1417"/>
        <w:gridCol w:w="851"/>
        <w:gridCol w:w="1277"/>
        <w:gridCol w:w="1411"/>
      </w:tblGrid>
      <w:tr w:rsidR="009B2344" w:rsidRPr="00E37133" w:rsidTr="009B2344">
        <w:trPr>
          <w:trHeight w:val="102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Jednos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t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ka miary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dywana ilość na okres</w:t>
            </w:r>
          </w:p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prod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u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cent, wielkość op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a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kowania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jednostkę miary</w:t>
            </w:r>
            <w:r w:rsidR="00DC597A"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w złotych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DC597A" w:rsidRPr="00E37133" w:rsidRDefault="00DC597A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E" w:rsidRPr="00E37133" w:rsidRDefault="0030318E" w:rsidP="00A05A7C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DD1737" w:rsidRPr="00E37133" w:rsidRDefault="0030318E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9B2344" w:rsidRPr="00E37133" w:rsidTr="009B2344">
        <w:trPr>
          <w:trHeight w:val="4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C597A" w:rsidP="00A05A7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D1737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kol. 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C597A" w:rsidP="00A05A7C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DD1737" w:rsidRPr="00E37133" w:rsidRDefault="00DD1737" w:rsidP="00A05A7C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C597A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D1737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C597A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DD1737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7A" w:rsidRPr="00E37133" w:rsidRDefault="00DD1737" w:rsidP="00A05A7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9B2344" w:rsidRPr="00E37133" w:rsidTr="009B2344">
        <w:trPr>
          <w:trHeight w:val="155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Alkaliczny środek do mycia kaczek i basenów, usuwający szczególnie silne zabrudzenia z mydła i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cytostatyków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z ludzkich odchodów. Niepieniący, dostosowany do wody o każdej twardości. Stosowany w myjniach naczyń san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i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tarnych wyposażonych w pompę dozującą środek myj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ą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cy. Dozowany w ilości 1-3 ml/l w zależności od tward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ści wody, w etapie mycia. Zawiera w swoim składzie min. &lt;5%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fosfoniany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15-30% EDTA, wodorotlenek sodu &lt;1%. Wartość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roztworu roboczego mieści się w granicach 11,2-11,5, gęstość 1,2g/cm³, lepkość &lt; 50mPas. Spełnia wymagania dotyczące wyrobów medycznych zgodnie z Dyrektywą 93/42/EC załącznik I. Opakowanie 5 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opak.</w:t>
            </w:r>
          </w:p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B2344" w:rsidRPr="00E37133" w:rsidTr="009B2344">
        <w:trPr>
          <w:trHeight w:val="151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Środek zmiękczający oraz płuczący, płynny koncentrat, na bazie kwasów organicznych. Zabezpiecza przed os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dami kamienia wodnego. Bardzo dobre działanie odpi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e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niające. Jego doskonałe właściwości płuczące wpływają na zadowalające efekty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bezzaciekowego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suszenia. O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powiedni do myjni naczyń sanitarnych odpornych na działanie kwasów. Opakowanie 5</w:t>
            </w:r>
            <w:r w:rsidR="00EC1AA9"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L.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B2344" w:rsidRPr="00E37133" w:rsidTr="009B2344">
        <w:trPr>
          <w:trHeight w:val="113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spacing w:before="100" w:beforeAutospacing="1" w:after="100" w:afterAutospacing="1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Lekko alkaiczny środek kompleksujący twardość wody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dlka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uniknięcia tworzenia się osadów kamienia wodnego podczas maszynowego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reprocesowania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naczyń sanita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nych, odpowiedni do wody o każdym stopniu twardości. Dozowanie 1-3ml/l w zależności od twardości wody,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10,0-10,2, gęstość 1,1g/ cm³,zawiera 15-30%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polika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r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boksylany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oraz środki konserwujące (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sodium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hydrox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methylglycinate</w:t>
            </w:r>
            <w:proofErr w:type="spellEnd"/>
            <w:r w:rsidRPr="00E37133">
              <w:rPr>
                <w:rFonts w:asciiTheme="majorHAnsi" w:hAnsiTheme="majorHAnsi" w:cs="Arial"/>
                <w:color w:val="000000"/>
                <w:sz w:val="18"/>
                <w:szCs w:val="18"/>
              </w:rPr>
              <w:t>). Opak. 5l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tabs>
                <w:tab w:val="center" w:pos="831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B2344" w:rsidTr="009B234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334" w:type="pct"/>
            <w:gridSpan w:val="6"/>
          </w:tcPr>
          <w:p w:rsidR="00B37B02" w:rsidRDefault="00B37B02" w:rsidP="00A05A7C">
            <w:pPr>
              <w:ind w:left="7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37B02" w:rsidRPr="00B37B02" w:rsidRDefault="00B37B02" w:rsidP="00A05A7C">
            <w:pPr>
              <w:ind w:left="7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="009B2344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  Wartość ogółem w złotych:</w:t>
            </w:r>
          </w:p>
        </w:tc>
        <w:tc>
          <w:tcPr>
            <w:tcW w:w="476" w:type="pct"/>
          </w:tcPr>
          <w:p w:rsidR="00B37B02" w:rsidRDefault="00B37B02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37B02" w:rsidRDefault="00B37B02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000000" w:themeFill="text1"/>
          </w:tcPr>
          <w:p w:rsidR="00B37B02" w:rsidRDefault="00B37B02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37B02" w:rsidRDefault="00B37B02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000000" w:themeFill="text1"/>
          </w:tcPr>
          <w:p w:rsidR="00B37B02" w:rsidRDefault="00B37B02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37B02" w:rsidRDefault="00B37B02" w:rsidP="00A05A7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:rsidR="00B37B02" w:rsidRDefault="00B37B02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:rsidR="00B37B02" w:rsidRDefault="00B37B02" w:rsidP="00B37B02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754AD" w:rsidRPr="002563AD" w:rsidRDefault="007A586A" w:rsidP="002563AD">
      <w:pPr>
        <w:rPr>
          <w:rFonts w:asciiTheme="majorHAnsi" w:hAnsiTheme="majorHAnsi" w:cs="Arial"/>
          <w:sz w:val="18"/>
          <w:szCs w:val="18"/>
        </w:rPr>
      </w:pPr>
      <w:r w:rsidRPr="00E37133">
        <w:rPr>
          <w:rFonts w:asciiTheme="majorHAnsi" w:hAnsiTheme="majorHAnsi" w:cs="Arial"/>
          <w:sz w:val="18"/>
          <w:szCs w:val="18"/>
        </w:rPr>
        <w:t xml:space="preserve">Kalibracja stężeń preparatu w urządzeniach wg zaleceń , po stronie </w:t>
      </w:r>
      <w:r w:rsidR="00DD1737" w:rsidRPr="00E37133">
        <w:rPr>
          <w:rFonts w:asciiTheme="majorHAnsi" w:hAnsiTheme="majorHAnsi" w:cs="Arial"/>
          <w:sz w:val="18"/>
          <w:szCs w:val="18"/>
        </w:rPr>
        <w:t>Wykonawcy</w:t>
      </w:r>
    </w:p>
    <w:p w:rsidR="000754AD" w:rsidRPr="00E37133" w:rsidRDefault="000754AD" w:rsidP="000754AD">
      <w:pPr>
        <w:suppressAutoHyphens/>
        <w:spacing w:line="240" w:lineRule="auto"/>
        <w:textAlignment w:val="baseline"/>
        <w:rPr>
          <w:rFonts w:asciiTheme="majorHAnsi" w:hAnsiTheme="majorHAnsi" w:cs="Arial"/>
        </w:rPr>
      </w:pPr>
    </w:p>
    <w:p w:rsidR="007A586A" w:rsidRPr="00E37133" w:rsidRDefault="007A586A" w:rsidP="000754AD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0754AD" w:rsidRPr="00EE0AAD" w:rsidRDefault="000754AD" w:rsidP="000754AD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0754AD" w:rsidRPr="00EE0AAD" w:rsidRDefault="000754AD" w:rsidP="000754AD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kern w:val="2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Zamawiający zaleca zapisanie dokumentu w formacie PDF.</w:t>
      </w:r>
    </w:p>
    <w:p w:rsidR="00316E38" w:rsidRDefault="00316E38" w:rsidP="0036766C">
      <w:pPr>
        <w:rPr>
          <w:rFonts w:asciiTheme="majorHAnsi" w:hAnsiTheme="majorHAnsi" w:cs="Arial"/>
        </w:rPr>
      </w:pPr>
    </w:p>
    <w:p w:rsidR="00316E38" w:rsidRPr="00E37133" w:rsidRDefault="00316E38" w:rsidP="0036766C">
      <w:pPr>
        <w:rPr>
          <w:rFonts w:asciiTheme="majorHAnsi" w:hAnsiTheme="majorHAnsi" w:cs="Arial"/>
        </w:rPr>
      </w:pPr>
    </w:p>
    <w:p w:rsidR="007A586A" w:rsidRPr="002563AD" w:rsidRDefault="00E46AE8" w:rsidP="002563AD">
      <w:pPr>
        <w:pStyle w:val="Nagwek3"/>
        <w:rPr>
          <w:rFonts w:asciiTheme="majorHAnsi" w:hAnsiTheme="majorHAnsi"/>
          <w:sz w:val="18"/>
          <w:szCs w:val="18"/>
          <w:lang w:val="pl-PL"/>
        </w:rPr>
      </w:pPr>
      <w:r>
        <w:t xml:space="preserve">       </w:t>
      </w:r>
      <w:r w:rsidR="00FE44DF">
        <w:rPr>
          <w:rFonts w:asciiTheme="majorHAnsi" w:hAnsiTheme="majorHAnsi"/>
          <w:sz w:val="18"/>
          <w:szCs w:val="18"/>
        </w:rPr>
        <w:t xml:space="preserve">PAKIET NR 7  – </w:t>
      </w:r>
      <w:r w:rsidR="00FE44DF">
        <w:rPr>
          <w:rFonts w:asciiTheme="majorHAnsi" w:hAnsiTheme="majorHAnsi"/>
          <w:sz w:val="18"/>
          <w:szCs w:val="18"/>
          <w:lang w:val="pl-PL"/>
        </w:rPr>
        <w:t>M</w:t>
      </w:r>
      <w:bookmarkStart w:id="0" w:name="_GoBack"/>
      <w:bookmarkEnd w:id="0"/>
      <w:r w:rsidR="007A586A" w:rsidRPr="002563AD">
        <w:rPr>
          <w:rFonts w:asciiTheme="majorHAnsi" w:hAnsiTheme="majorHAnsi"/>
          <w:sz w:val="18"/>
          <w:szCs w:val="18"/>
        </w:rPr>
        <w:t xml:space="preserve">ycie i dezynfekcja – Pracownia endoskopowa/ </w:t>
      </w:r>
      <w:proofErr w:type="spellStart"/>
      <w:r w:rsidR="007A586A" w:rsidRPr="002563AD">
        <w:rPr>
          <w:rFonts w:asciiTheme="majorHAnsi" w:hAnsiTheme="majorHAnsi"/>
          <w:sz w:val="18"/>
          <w:szCs w:val="18"/>
        </w:rPr>
        <w:t>bronchoskopowa</w:t>
      </w:r>
      <w:proofErr w:type="spellEnd"/>
      <w:r w:rsidR="002563AD">
        <w:rPr>
          <w:rFonts w:asciiTheme="majorHAnsi" w:hAnsiTheme="majorHAnsi"/>
          <w:sz w:val="18"/>
          <w:szCs w:val="18"/>
          <w:lang w:val="pl-PL"/>
        </w:rPr>
        <w:t>.</w:t>
      </w:r>
    </w:p>
    <w:p w:rsidR="003745C2" w:rsidRPr="00E37133" w:rsidRDefault="003745C2" w:rsidP="007A586A">
      <w:pPr>
        <w:ind w:hanging="426"/>
        <w:rPr>
          <w:rFonts w:asciiTheme="majorHAnsi" w:hAnsiTheme="majorHAnsi" w:cs="Arial"/>
          <w:b/>
          <w:bCs/>
          <w:sz w:val="18"/>
          <w:szCs w:val="18"/>
        </w:rPr>
      </w:pPr>
    </w:p>
    <w:tbl>
      <w:tblPr>
        <w:tblStyle w:val="Tabela-Siatka"/>
        <w:tblW w:w="15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4533"/>
        <w:gridCol w:w="850"/>
        <w:gridCol w:w="1134"/>
        <w:gridCol w:w="1559"/>
        <w:gridCol w:w="1141"/>
        <w:gridCol w:w="1412"/>
        <w:gridCol w:w="855"/>
        <w:gridCol w:w="1276"/>
        <w:gridCol w:w="1561"/>
      </w:tblGrid>
      <w:tr w:rsidR="00E46AE8" w:rsidRPr="00E37133" w:rsidTr="00E46AE8">
        <w:trPr>
          <w:trHeight w:val="10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pStyle w:val="Nagwek2"/>
              <w:spacing w:line="276" w:lineRule="auto"/>
              <w:jc w:val="center"/>
              <w:outlineLvl w:val="1"/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37133">
              <w:rPr>
                <w:rFonts w:asciiTheme="majorHAnsi" w:hAnsiTheme="majorHAnsi"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Je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E8" w:rsidRPr="00E37133" w:rsidRDefault="00E46AE8" w:rsidP="00E46AE8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Przewid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y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wana ilość na okres</w:t>
            </w:r>
          </w:p>
          <w:p w:rsidR="007A586A" w:rsidRPr="00E37133" w:rsidRDefault="00E46AE8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2-wóch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Nazwa handlowa preparatu, pr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eastAsia="en-US"/>
              </w:rPr>
              <w:t>ducent, wielkość opakowania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Cena netto za jednos</w:t>
            </w: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t</w:t>
            </w:r>
            <w:r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>kę miary</w:t>
            </w:r>
            <w:r w:rsidR="008D3EB9" w:rsidRPr="00E37133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w złotych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netto ogółem w złotych</w:t>
            </w:r>
          </w:p>
          <w:p w:rsidR="008D3EB9" w:rsidRPr="00E37133" w:rsidRDefault="008D3EB9" w:rsidP="00E46AE8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Stawka VAT</w:t>
            </w:r>
          </w:p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Cena brutto za jednostkę miary w złotych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Wartość brutto ogółem  w zł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o</w:t>
            </w:r>
            <w:r w:rsidRPr="00E37133">
              <w:rPr>
                <w:rFonts w:asciiTheme="majorHAnsi" w:hAnsiTheme="majorHAnsi" w:cs="Arial"/>
                <w:bCs/>
                <w:sz w:val="18"/>
                <w:szCs w:val="18"/>
              </w:rPr>
              <w:t>tych</w:t>
            </w:r>
          </w:p>
          <w:p w:rsidR="008D3EB9" w:rsidRPr="00E37133" w:rsidRDefault="008D3EB9" w:rsidP="00E46AE8">
            <w:pPr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E46AE8" w:rsidRPr="00E37133" w:rsidTr="00E46AE8"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k</w:t>
            </w:r>
            <w:r w:rsidR="00DD1737"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ol</w:t>
            </w:r>
            <w:proofErr w:type="spellEnd"/>
            <w:r w:rsidR="00DD1737"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pStyle w:val="Nagwek2"/>
              <w:spacing w:line="276" w:lineRule="auto"/>
              <w:jc w:val="center"/>
              <w:outlineLvl w:val="1"/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k</w:t>
            </w:r>
            <w:r w:rsidR="00DD1737" w:rsidRPr="00E37133">
              <w:rPr>
                <w:rFonts w:asciiTheme="majorHAnsi" w:hAnsiTheme="majorHAnsi" w:cs="Arial"/>
                <w:bCs/>
                <w:sz w:val="18"/>
                <w:szCs w:val="18"/>
                <w:lang w:val="pl-PL" w:eastAsia="en-US"/>
              </w:rPr>
              <w:t>ol.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B9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D1737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</w:rPr>
              <w:t>k</w:t>
            </w:r>
            <w:r w:rsidR="00DD1737" w:rsidRPr="00E37133">
              <w:rPr>
                <w:rFonts w:asciiTheme="majorHAnsi" w:hAnsiTheme="majorHAnsi" w:cs="Arial"/>
                <w:b/>
                <w:sz w:val="18"/>
                <w:szCs w:val="18"/>
              </w:rPr>
              <w:t>ol.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DD1737" w:rsidP="00E46AE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</w:p>
          <w:p w:rsidR="008D3EB9" w:rsidRPr="00E37133" w:rsidRDefault="008D3EB9" w:rsidP="00E46AE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E37133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DD1737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8D3EB9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DD1737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8D3EB9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37" w:rsidRPr="00E37133" w:rsidRDefault="008D3EB9" w:rsidP="00E46AE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E46AE8" w:rsidRPr="00E37133" w:rsidTr="00E46AE8">
        <w:trPr>
          <w:trHeight w:val="8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Pięcioenzymatyczny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(proteaza, lipaza, amylaza,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ma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naza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celulaza) preparat do manualnego i maszynowego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reprocesowania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narzędzi, endoskopów, oprzyrządow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nia anestezjologicznego i innych wyrobów medycznych. Bardzo wydajne, niskie stężenie robocze od 0,01% do 0,5%. Szerokie zastosowanie – mycie manualne, w myjkach ultradźwiękowych, w półautomatycznych i automatycznych myjniach do endoskopów oraz w my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j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niach dezynfektorach.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7,25 (+/- 0,25) w roztworze. 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lastRenderedPageBreak/>
              <w:t>Szybkie działanie – już po 1 min. Maksymalny czas aktywności w połączeniu z płynem dezynfekcyjnym co najmniej 14 dni ( lub max 50 cykli).Wyrób medyczny klasy I. Kanister 5L</w:t>
            </w:r>
          </w:p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Do  myjni CHOYANG  CYW – 100 oraz AORT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endoclean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lastRenderedPageBreak/>
              <w:t>opak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46AE8" w:rsidRPr="00E37133" w:rsidTr="00E46AE8">
        <w:trPr>
          <w:trHeight w:val="9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Gotowy do użycia preparat w płynie do manualnej dezynfekcji wysokiego poziomu endoskopów i innych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termolabilnych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 wyrobów na poziomie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sporobójczym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. Spektrum działania: B, F,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Tbc,V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, S (C.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difficile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, C.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spor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o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genes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, B.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Subtilis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) w czasie 5 min. Substancja aktywna: kwas nadoctowy i 3% nadtlenek wodoru, </w:t>
            </w:r>
            <w:proofErr w:type="spellStart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ph</w:t>
            </w:r>
            <w:proofErr w:type="spellEnd"/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: 7,5-8,5, bez kwasu octowego. Aktywność preparatu do 14 dni ( max 50 cykli), czas aktywacji preparatu nie dłuższy niż 30 min. Kontrola substancji aktywnej za pomocą p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a</w:t>
            </w: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sków testowych. Op. 5l. Współpracujący ze środkiem z poz.2</w:t>
            </w:r>
          </w:p>
          <w:p w:rsidR="007A586A" w:rsidRPr="00E37133" w:rsidRDefault="007A586A" w:rsidP="00E46AE8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 xml:space="preserve">Do  myjni CHOYANG  CYW – 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opak</w:t>
            </w:r>
          </w:p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46AE8" w:rsidRPr="00E37133" w:rsidTr="00E46AE8">
        <w:trPr>
          <w:trHeight w:val="4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pStyle w:val="Tekstpodstawowy"/>
              <w:spacing w:line="276" w:lineRule="auto"/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</w:pPr>
            <w:r w:rsidRPr="00E37133">
              <w:rPr>
                <w:rFonts w:asciiTheme="majorHAnsi" w:hAnsiTheme="majorHAnsi" w:cs="Arial"/>
                <w:b w:val="0"/>
                <w:sz w:val="18"/>
                <w:szCs w:val="18"/>
                <w:lang w:val="pl-PL" w:eastAsia="en-US"/>
              </w:rPr>
              <w:t>Paski testowe do poz.2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46AE8" w:rsidRPr="00E37133" w:rsidTr="00316E38">
        <w:trPr>
          <w:trHeight w:val="14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Gotowy do użycia preparat do dezynfekcji endoskopów działający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sporobójczo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na bazie aldehydu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glutarowego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. Zawartość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glutaraldehydu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 max. 2,0g na 100g preparatu, aktywny przez 30 dni z możliwością wielokrotnego stosowania. Kontrola aktywności za pomocą walidow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nych pasków. Spektrum działania:  B,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F,V,Tbc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-10min; 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B,F,V,Tbc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, S (wg. EN 17126) - do 120 min.  Poj. do 5 l. Do myjni AORT </w:t>
            </w: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</w:rPr>
              <w:t>endoclean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EC1AA9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szt</w:t>
            </w:r>
            <w:proofErr w:type="spellEnd"/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EC1AA9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46AE8" w:rsidRPr="00E37133" w:rsidTr="00E46AE8">
        <w:trPr>
          <w:trHeight w:val="5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</w:rPr>
              <w:t xml:space="preserve">Paski testowe do poz.4.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proofErr w:type="spellStart"/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  <w:r w:rsidRPr="00E37133">
              <w:rPr>
                <w:rFonts w:asciiTheme="majorHAnsi" w:hAnsiTheme="majorHAnsi" w:cs="Arial"/>
                <w:sz w:val="18"/>
                <w:szCs w:val="18"/>
                <w:lang w:val="de-DE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spacing w:line="276" w:lineRule="auto"/>
              <w:jc w:val="center"/>
              <w:rPr>
                <w:rFonts w:asciiTheme="majorHAnsi" w:hAnsiTheme="majorHAnsi" w:cs="Arial"/>
                <w:sz w:val="18"/>
                <w:szCs w:val="18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A" w:rsidRPr="00E37133" w:rsidRDefault="007A586A" w:rsidP="00E46AE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46AE8" w:rsidTr="00E46A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925" w:type="dxa"/>
            <w:gridSpan w:val="6"/>
          </w:tcPr>
          <w:p w:rsidR="00E46AE8" w:rsidRPr="00E37133" w:rsidRDefault="00E46AE8" w:rsidP="00E46AE8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E46AE8" w:rsidRPr="00E46AE8" w:rsidRDefault="00E46AE8" w:rsidP="00E46AE8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color w:val="FF0000"/>
                <w:kern w:val="2"/>
                <w:lang w:eastAsia="zh-CN" w:bidi="hi-IN"/>
              </w:rPr>
            </w:pPr>
            <w:r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 xml:space="preserve">                                                                                                                                                       </w:t>
            </w:r>
            <w:r w:rsidRPr="00E46AE8">
              <w:rPr>
                <w:rFonts w:asciiTheme="majorHAnsi" w:eastAsia="Arial" w:hAnsiTheme="majorHAnsi" w:cs="Arial"/>
                <w:b/>
                <w:kern w:val="2"/>
                <w:lang w:eastAsia="zh-CN" w:bidi="hi-IN"/>
              </w:rPr>
              <w:t>Wartość ogółem w złotych:</w:t>
            </w:r>
          </w:p>
        </w:tc>
        <w:tc>
          <w:tcPr>
            <w:tcW w:w="1410" w:type="dxa"/>
          </w:tcPr>
          <w:p w:rsidR="00E46AE8" w:rsidRDefault="00E46AE8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E46AE8" w:rsidRDefault="00E46AE8" w:rsidP="00E46AE8">
            <w:pPr>
              <w:suppressAutoHyphens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:rsidR="00E46AE8" w:rsidRDefault="00E46AE8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E46AE8" w:rsidRDefault="00E46AE8" w:rsidP="00E46AE8">
            <w:pPr>
              <w:suppressAutoHyphens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E46AE8" w:rsidRPr="00E46AE8" w:rsidRDefault="00E46AE8">
            <w:pPr>
              <w:spacing w:after="200"/>
              <w:rPr>
                <w:rFonts w:asciiTheme="majorHAnsi" w:eastAsia="Arial" w:hAnsiTheme="majorHAnsi" w:cs="Arial"/>
                <w:b/>
                <w:color w:val="FF0000"/>
                <w:kern w:val="2"/>
                <w:lang w:eastAsia="zh-CN" w:bidi="hi-IN"/>
              </w:rPr>
            </w:pPr>
          </w:p>
          <w:p w:rsidR="00E46AE8" w:rsidRDefault="00E46AE8" w:rsidP="00E46AE8">
            <w:pPr>
              <w:suppressAutoHyphens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  <w:tc>
          <w:tcPr>
            <w:tcW w:w="1561" w:type="dxa"/>
          </w:tcPr>
          <w:p w:rsidR="00E46AE8" w:rsidRDefault="00E46AE8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  <w:p w:rsidR="00E46AE8" w:rsidRDefault="00E46AE8" w:rsidP="00E46AE8">
            <w:pPr>
              <w:suppressAutoHyphens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lang w:eastAsia="zh-CN" w:bidi="hi-IN"/>
              </w:rPr>
            </w:pPr>
          </w:p>
        </w:tc>
      </w:tr>
    </w:tbl>
    <w:p w:rsidR="00B440F6" w:rsidRDefault="00B440F6" w:rsidP="005D1B8E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kern w:val="2"/>
          <w:lang w:eastAsia="zh-CN" w:bidi="hi-IN"/>
        </w:rPr>
      </w:pPr>
    </w:p>
    <w:p w:rsidR="00C530FC" w:rsidRPr="00EE0AAD" w:rsidRDefault="005D1B8E" w:rsidP="00316E38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kern w:val="1"/>
          <w:lang w:eastAsia="zh-CN" w:bidi="hi-IN"/>
        </w:rPr>
      </w:pPr>
      <w:r w:rsidRPr="00EE0AAD">
        <w:rPr>
          <w:rFonts w:asciiTheme="majorHAnsi" w:eastAsia="Arial" w:hAnsiTheme="majorHAnsi" w:cs="Arial"/>
          <w:b/>
          <w:kern w:val="2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sectPr w:rsidR="00C530FC" w:rsidRPr="00EE0AAD" w:rsidSect="00316E38">
      <w:pgSz w:w="16838" w:h="11906" w:orient="landscape"/>
      <w:pgMar w:top="1417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80" w:rsidRDefault="00913080" w:rsidP="002F3D5B">
      <w:pPr>
        <w:spacing w:line="240" w:lineRule="auto"/>
      </w:pPr>
      <w:r>
        <w:separator/>
      </w:r>
    </w:p>
  </w:endnote>
  <w:endnote w:type="continuationSeparator" w:id="0">
    <w:p w:rsidR="00913080" w:rsidRDefault="00913080" w:rsidP="002F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80" w:rsidRDefault="00913080" w:rsidP="002F3D5B">
      <w:pPr>
        <w:spacing w:line="240" w:lineRule="auto"/>
      </w:pPr>
      <w:r>
        <w:separator/>
      </w:r>
    </w:p>
  </w:footnote>
  <w:footnote w:type="continuationSeparator" w:id="0">
    <w:p w:rsidR="00913080" w:rsidRDefault="00913080" w:rsidP="002F3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523"/>
    <w:multiLevelType w:val="hybridMultilevel"/>
    <w:tmpl w:val="DAAC99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5D5B"/>
    <w:multiLevelType w:val="hybridMultilevel"/>
    <w:tmpl w:val="D494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7"/>
    <w:rsid w:val="000374C7"/>
    <w:rsid w:val="000754AD"/>
    <w:rsid w:val="00095B99"/>
    <w:rsid w:val="000B286E"/>
    <w:rsid w:val="0019405F"/>
    <w:rsid w:val="001F211A"/>
    <w:rsid w:val="00232011"/>
    <w:rsid w:val="0025495B"/>
    <w:rsid w:val="002563AD"/>
    <w:rsid w:val="002A3CD8"/>
    <w:rsid w:val="002B15C9"/>
    <w:rsid w:val="002F3D5B"/>
    <w:rsid w:val="0030318E"/>
    <w:rsid w:val="00307B72"/>
    <w:rsid w:val="00316E38"/>
    <w:rsid w:val="00320B44"/>
    <w:rsid w:val="00360660"/>
    <w:rsid w:val="0036766C"/>
    <w:rsid w:val="00367A70"/>
    <w:rsid w:val="003745C2"/>
    <w:rsid w:val="003E1774"/>
    <w:rsid w:val="00443DD1"/>
    <w:rsid w:val="00465715"/>
    <w:rsid w:val="004B232E"/>
    <w:rsid w:val="004B67E0"/>
    <w:rsid w:val="004E510A"/>
    <w:rsid w:val="00505244"/>
    <w:rsid w:val="0052557A"/>
    <w:rsid w:val="00540C31"/>
    <w:rsid w:val="00562D33"/>
    <w:rsid w:val="00590289"/>
    <w:rsid w:val="005A6675"/>
    <w:rsid w:val="005D1B8E"/>
    <w:rsid w:val="00606578"/>
    <w:rsid w:val="00640FF9"/>
    <w:rsid w:val="006435EC"/>
    <w:rsid w:val="00667FCB"/>
    <w:rsid w:val="006B60DC"/>
    <w:rsid w:val="006C4B93"/>
    <w:rsid w:val="006C7C35"/>
    <w:rsid w:val="006D26A2"/>
    <w:rsid w:val="007216AD"/>
    <w:rsid w:val="0072564A"/>
    <w:rsid w:val="007A586A"/>
    <w:rsid w:val="007D69B6"/>
    <w:rsid w:val="007E1681"/>
    <w:rsid w:val="007E76DF"/>
    <w:rsid w:val="008353FF"/>
    <w:rsid w:val="008B00AE"/>
    <w:rsid w:val="008D3EB9"/>
    <w:rsid w:val="00913080"/>
    <w:rsid w:val="00984762"/>
    <w:rsid w:val="009B2344"/>
    <w:rsid w:val="009C3769"/>
    <w:rsid w:val="009E2020"/>
    <w:rsid w:val="00A05A7C"/>
    <w:rsid w:val="00A75ABC"/>
    <w:rsid w:val="00AC318E"/>
    <w:rsid w:val="00AE6FBE"/>
    <w:rsid w:val="00B37B02"/>
    <w:rsid w:val="00B440F6"/>
    <w:rsid w:val="00B57AAD"/>
    <w:rsid w:val="00B85F20"/>
    <w:rsid w:val="00B91DC7"/>
    <w:rsid w:val="00B9414A"/>
    <w:rsid w:val="00BA559B"/>
    <w:rsid w:val="00BE7489"/>
    <w:rsid w:val="00C146CD"/>
    <w:rsid w:val="00C530FC"/>
    <w:rsid w:val="00CD6FBC"/>
    <w:rsid w:val="00D041CC"/>
    <w:rsid w:val="00D04A93"/>
    <w:rsid w:val="00D17AB0"/>
    <w:rsid w:val="00D23B36"/>
    <w:rsid w:val="00D44B4D"/>
    <w:rsid w:val="00D55FA8"/>
    <w:rsid w:val="00D81FC6"/>
    <w:rsid w:val="00D8382C"/>
    <w:rsid w:val="00DC27CD"/>
    <w:rsid w:val="00DC597A"/>
    <w:rsid w:val="00DD1737"/>
    <w:rsid w:val="00DE1BBE"/>
    <w:rsid w:val="00E3036B"/>
    <w:rsid w:val="00E37133"/>
    <w:rsid w:val="00E46AE8"/>
    <w:rsid w:val="00E712B0"/>
    <w:rsid w:val="00E76F41"/>
    <w:rsid w:val="00EC1AA9"/>
    <w:rsid w:val="00EC6F0D"/>
    <w:rsid w:val="00EE0AAD"/>
    <w:rsid w:val="00F51C62"/>
    <w:rsid w:val="00F9583C"/>
    <w:rsid w:val="00FA05A9"/>
    <w:rsid w:val="00FB44B8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pPr>
      <w:spacing w:after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pPr>
      <w:spacing w:line="240" w:lineRule="auto"/>
    </w:pPr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2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B0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B0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pPr>
      <w:spacing w:after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pPr>
      <w:spacing w:line="240" w:lineRule="auto"/>
    </w:pPr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2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B0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B0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F73A-3D16-416F-8F3C-78EC9A7B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21</Pages>
  <Words>5201</Words>
  <Characters>31206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mjablonski</dc:creator>
  <cp:lastModifiedBy>ppawluczuk</cp:lastModifiedBy>
  <cp:revision>46</cp:revision>
  <cp:lastPrinted>2024-02-23T10:06:00Z</cp:lastPrinted>
  <dcterms:created xsi:type="dcterms:W3CDTF">2022-03-17T08:09:00Z</dcterms:created>
  <dcterms:modified xsi:type="dcterms:W3CDTF">2024-02-28T09:04:00Z</dcterms:modified>
</cp:coreProperties>
</file>