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2635" w14:textId="4BDC828F" w:rsidR="006C4A08" w:rsidRPr="00BD11D4" w:rsidRDefault="00615C42" w:rsidP="00615C42">
      <w:pPr>
        <w:ind w:left="6689" w:firstLine="0"/>
        <w:rPr>
          <w:rFonts w:ascii="Times New Roman" w:hAnsi="Times New Roman"/>
          <w:lang w:eastAsia="x-none"/>
        </w:rPr>
      </w:pPr>
      <w:r w:rsidRPr="00BD11D4">
        <w:rPr>
          <w:rFonts w:ascii="Times New Roman" w:hAnsi="Times New Roman"/>
          <w:lang w:eastAsia="x-none"/>
        </w:rPr>
        <w:t>Zał. 1 a do SWZ ZP.272.16.2023</w:t>
      </w:r>
    </w:p>
    <w:p w14:paraId="732D0B89" w14:textId="3E801EDE" w:rsidR="00BD11D4" w:rsidRPr="00BD11D4" w:rsidRDefault="00BD11D4" w:rsidP="00BD11D4">
      <w:pPr>
        <w:ind w:left="0" w:firstLine="0"/>
        <w:jc w:val="both"/>
        <w:rPr>
          <w:rFonts w:ascii="Times New Roman" w:hAnsi="Times New Roman"/>
          <w:b/>
          <w:sz w:val="24"/>
          <w:lang w:eastAsia="x-none"/>
        </w:rPr>
      </w:pPr>
    </w:p>
    <w:p w14:paraId="6027A13D" w14:textId="77777777" w:rsidR="00BD11D4" w:rsidRPr="00BD11D4" w:rsidRDefault="00BD11D4" w:rsidP="00BD11D4">
      <w:pPr>
        <w:framePr w:hSpace="141" w:wrap="around" w:vAnchor="page" w:hAnchor="margin" w:xAlign="center" w:y="1206"/>
        <w:ind w:left="0" w:firstLine="0"/>
        <w:jc w:val="both"/>
        <w:rPr>
          <w:rFonts w:ascii="Times New Roman" w:hAnsi="Times New Roman"/>
          <w:sz w:val="20"/>
          <w:szCs w:val="20"/>
          <w:lang w:eastAsia="x-none"/>
        </w:rPr>
      </w:pPr>
      <w:r w:rsidRPr="00BD11D4">
        <w:rPr>
          <w:rFonts w:ascii="Times New Roman" w:hAnsi="Times New Roman"/>
          <w:sz w:val="20"/>
          <w:szCs w:val="20"/>
          <w:lang w:eastAsia="x-none"/>
        </w:rPr>
        <w:t>Wykonawca:</w:t>
      </w:r>
    </w:p>
    <w:p w14:paraId="6B61844A" w14:textId="77777777" w:rsidR="00BD11D4" w:rsidRPr="00BD11D4" w:rsidRDefault="00BD11D4" w:rsidP="00BD11D4">
      <w:pPr>
        <w:framePr w:hSpace="141" w:wrap="around" w:vAnchor="page" w:hAnchor="margin" w:xAlign="center" w:y="1206"/>
        <w:rPr>
          <w:rFonts w:ascii="Times New Roman" w:hAnsi="Times New Roman"/>
          <w:sz w:val="20"/>
          <w:szCs w:val="20"/>
          <w:lang w:eastAsia="x-none"/>
        </w:rPr>
      </w:pPr>
    </w:p>
    <w:p w14:paraId="171CF0A3" w14:textId="77777777" w:rsidR="00BD11D4" w:rsidRPr="00BD11D4" w:rsidRDefault="00BD11D4" w:rsidP="00BD11D4">
      <w:pPr>
        <w:framePr w:hSpace="141" w:wrap="around" w:vAnchor="page" w:hAnchor="margin" w:xAlign="center" w:y="1206"/>
        <w:jc w:val="both"/>
        <w:rPr>
          <w:rFonts w:ascii="Times New Roman" w:hAnsi="Times New Roman"/>
          <w:sz w:val="20"/>
          <w:szCs w:val="20"/>
          <w:lang w:eastAsia="x-none"/>
        </w:rPr>
      </w:pPr>
      <w:r w:rsidRPr="00BD11D4">
        <w:rPr>
          <w:rFonts w:ascii="Times New Roman" w:hAnsi="Times New Roman"/>
          <w:sz w:val="20"/>
          <w:szCs w:val="20"/>
          <w:lang w:eastAsia="x-none"/>
        </w:rPr>
        <w:t xml:space="preserve">   …………………….</w:t>
      </w:r>
    </w:p>
    <w:p w14:paraId="4C486A77" w14:textId="77777777" w:rsidR="00BD11D4" w:rsidRPr="00BD11D4" w:rsidRDefault="00BD11D4" w:rsidP="00BD11D4">
      <w:pPr>
        <w:framePr w:hSpace="141" w:wrap="around" w:vAnchor="page" w:hAnchor="margin" w:xAlign="center" w:y="1206"/>
        <w:jc w:val="both"/>
        <w:rPr>
          <w:rFonts w:ascii="Times New Roman" w:hAnsi="Times New Roman"/>
          <w:sz w:val="16"/>
          <w:szCs w:val="16"/>
          <w:lang w:eastAsia="x-none"/>
        </w:rPr>
      </w:pPr>
      <w:r w:rsidRPr="00BD11D4">
        <w:rPr>
          <w:rFonts w:ascii="Times New Roman" w:hAnsi="Times New Roman"/>
          <w:sz w:val="16"/>
          <w:szCs w:val="16"/>
          <w:lang w:eastAsia="x-none"/>
        </w:rPr>
        <w:t xml:space="preserve">  (pełna nazwa/firma, adres)</w:t>
      </w:r>
    </w:p>
    <w:p w14:paraId="11293B7D" w14:textId="77777777" w:rsidR="00BD11D4" w:rsidRPr="00BD11D4" w:rsidRDefault="00BD11D4" w:rsidP="00BD11D4">
      <w:pPr>
        <w:framePr w:hSpace="141" w:wrap="around" w:vAnchor="page" w:hAnchor="margin" w:xAlign="center" w:y="1206"/>
        <w:ind w:left="0" w:firstLine="0"/>
        <w:jc w:val="both"/>
        <w:rPr>
          <w:rFonts w:ascii="Times New Roman" w:hAnsi="Times New Roman"/>
          <w:sz w:val="20"/>
          <w:szCs w:val="20"/>
          <w:lang w:eastAsia="x-none"/>
        </w:rPr>
      </w:pPr>
    </w:p>
    <w:p w14:paraId="75DBDF3B" w14:textId="77777777" w:rsidR="00BD11D4" w:rsidRPr="00BD11D4" w:rsidRDefault="00BD11D4" w:rsidP="00BD11D4">
      <w:pPr>
        <w:framePr w:hSpace="141" w:wrap="around" w:vAnchor="page" w:hAnchor="margin" w:xAlign="center" w:y="1206"/>
        <w:ind w:left="6228" w:firstLine="0"/>
        <w:jc w:val="left"/>
        <w:rPr>
          <w:rFonts w:ascii="Times New Roman" w:hAnsi="Times New Roman"/>
          <w:b/>
          <w:sz w:val="20"/>
          <w:szCs w:val="20"/>
          <w:lang w:eastAsia="x-none"/>
        </w:rPr>
      </w:pPr>
      <w:r w:rsidRPr="00BD11D4">
        <w:rPr>
          <w:rFonts w:ascii="Times New Roman" w:hAnsi="Times New Roman"/>
          <w:b/>
          <w:sz w:val="20"/>
          <w:szCs w:val="20"/>
          <w:lang w:eastAsia="x-none"/>
        </w:rPr>
        <w:t>Zamawiający:</w:t>
      </w:r>
    </w:p>
    <w:p w14:paraId="0F0FDCD0" w14:textId="77777777" w:rsidR="00BD11D4" w:rsidRPr="00BD11D4" w:rsidRDefault="00BD11D4" w:rsidP="00BD11D4">
      <w:pPr>
        <w:framePr w:hSpace="141" w:wrap="around" w:vAnchor="page" w:hAnchor="margin" w:xAlign="center" w:y="1206"/>
        <w:ind w:left="6228" w:firstLine="0"/>
        <w:jc w:val="left"/>
        <w:rPr>
          <w:rFonts w:ascii="Times New Roman" w:hAnsi="Times New Roman"/>
          <w:b/>
          <w:sz w:val="20"/>
          <w:szCs w:val="20"/>
          <w:lang w:eastAsia="x-none"/>
        </w:rPr>
      </w:pPr>
      <w:r w:rsidRPr="00BD11D4">
        <w:rPr>
          <w:rFonts w:ascii="Times New Roman" w:hAnsi="Times New Roman"/>
          <w:b/>
          <w:sz w:val="20"/>
          <w:szCs w:val="20"/>
          <w:lang w:eastAsia="x-none"/>
        </w:rPr>
        <w:t>Powiat Pruszkowski</w:t>
      </w:r>
    </w:p>
    <w:p w14:paraId="6E96CD22" w14:textId="77777777" w:rsidR="00BD11D4" w:rsidRPr="00BD11D4" w:rsidRDefault="00BD11D4" w:rsidP="00BD11D4">
      <w:pPr>
        <w:framePr w:hSpace="141" w:wrap="around" w:vAnchor="page" w:hAnchor="margin" w:xAlign="center" w:y="1206"/>
        <w:ind w:left="5670" w:firstLine="0"/>
        <w:jc w:val="left"/>
        <w:rPr>
          <w:rFonts w:ascii="Times New Roman" w:hAnsi="Times New Roman"/>
          <w:sz w:val="20"/>
          <w:szCs w:val="20"/>
          <w:lang w:eastAsia="x-none"/>
        </w:rPr>
      </w:pPr>
    </w:p>
    <w:p w14:paraId="2A488CAF" w14:textId="77777777" w:rsidR="00BD11D4" w:rsidRPr="00BD11D4" w:rsidRDefault="00BD11D4" w:rsidP="00BD11D4">
      <w:pPr>
        <w:framePr w:hSpace="141" w:wrap="around" w:vAnchor="page" w:hAnchor="margin" w:xAlign="center" w:y="1206"/>
        <w:rPr>
          <w:rFonts w:ascii="Times New Roman" w:hAnsi="Times New Roman"/>
          <w:b/>
          <w:sz w:val="20"/>
          <w:szCs w:val="20"/>
          <w:lang w:eastAsia="x-none"/>
        </w:rPr>
      </w:pPr>
      <w:r w:rsidRPr="00BD11D4">
        <w:rPr>
          <w:rFonts w:ascii="Times New Roman" w:hAnsi="Times New Roman"/>
          <w:b/>
          <w:sz w:val="20"/>
          <w:szCs w:val="20"/>
          <w:lang w:eastAsia="x-none"/>
        </w:rPr>
        <w:t>FORMULARZ SPEŁNIENIA WYMAGAŃ SPRZĘTOWYCH</w:t>
      </w:r>
    </w:p>
    <w:p w14:paraId="3C49EED0" w14:textId="77777777" w:rsidR="00BD11D4" w:rsidRPr="00BD11D4" w:rsidRDefault="00BD11D4" w:rsidP="00BD11D4">
      <w:pPr>
        <w:framePr w:hSpace="141" w:wrap="around" w:vAnchor="page" w:hAnchor="margin" w:xAlign="center" w:y="1206"/>
        <w:rPr>
          <w:rFonts w:ascii="Times New Roman" w:hAnsi="Times New Roman"/>
          <w:b/>
          <w:sz w:val="20"/>
          <w:szCs w:val="20"/>
          <w:lang w:eastAsia="x-none"/>
        </w:rPr>
      </w:pPr>
    </w:p>
    <w:p w14:paraId="7B5B8836" w14:textId="4FEBC61B" w:rsidR="00BD11D4" w:rsidRPr="00BD11D4" w:rsidRDefault="00BD11D4" w:rsidP="00BD11D4">
      <w:pPr>
        <w:framePr w:hSpace="141" w:wrap="around" w:vAnchor="page" w:hAnchor="margin" w:xAlign="center" w:y="1206"/>
        <w:rPr>
          <w:rFonts w:ascii="Times New Roman" w:hAnsi="Times New Roman"/>
          <w:sz w:val="20"/>
          <w:szCs w:val="20"/>
          <w:lang w:eastAsia="x-none"/>
        </w:rPr>
      </w:pPr>
      <w:r w:rsidRPr="00BD11D4">
        <w:rPr>
          <w:rFonts w:ascii="Times New Roman" w:hAnsi="Times New Roman"/>
          <w:sz w:val="20"/>
          <w:szCs w:val="20"/>
          <w:lang w:eastAsia="x-none"/>
        </w:rPr>
        <w:t>w postępowaniu o udz</w:t>
      </w:r>
      <w:r w:rsidRPr="00BD11D4">
        <w:rPr>
          <w:rFonts w:ascii="Times New Roman" w:hAnsi="Times New Roman"/>
          <w:sz w:val="20"/>
          <w:szCs w:val="20"/>
          <w:lang w:eastAsia="x-none"/>
        </w:rPr>
        <w:t xml:space="preserve">ielenie zamówienia publicznego </w:t>
      </w:r>
      <w:r w:rsidRPr="00BD11D4">
        <w:rPr>
          <w:rFonts w:ascii="Times New Roman" w:hAnsi="Times New Roman"/>
          <w:sz w:val="20"/>
          <w:szCs w:val="20"/>
          <w:lang w:eastAsia="x-none"/>
        </w:rPr>
        <w:t xml:space="preserve">pn. </w:t>
      </w:r>
      <w:r w:rsidRPr="00BD11D4">
        <w:rPr>
          <w:rFonts w:ascii="Times New Roman" w:hAnsi="Times New Roman"/>
          <w:b/>
          <w:color w:val="000000" w:themeColor="text1"/>
          <w:sz w:val="20"/>
          <w:lang w:eastAsia="pl-PL"/>
        </w:rPr>
        <w:t>Dostawa i wdrożenie macierzy dyskowej</w:t>
      </w:r>
    </w:p>
    <w:p w14:paraId="64E58E55" w14:textId="28701725" w:rsidR="006C4A08" w:rsidRPr="007C5991" w:rsidRDefault="006C4A08" w:rsidP="00BD11D4">
      <w:pPr>
        <w:ind w:left="0" w:firstLine="0"/>
        <w:jc w:val="both"/>
        <w:rPr>
          <w:lang w:eastAsia="x-non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667"/>
        <w:gridCol w:w="1080"/>
      </w:tblGrid>
      <w:tr w:rsidR="002C643F" w:rsidRPr="006C6A4D" w14:paraId="69703F76" w14:textId="44830AAB" w:rsidTr="00D852A8">
        <w:trPr>
          <w:trHeight w:val="70"/>
        </w:trPr>
        <w:tc>
          <w:tcPr>
            <w:tcW w:w="8832" w:type="dxa"/>
            <w:gridSpan w:val="2"/>
            <w:shd w:val="clear" w:color="auto" w:fill="D9D9D9" w:themeFill="background1" w:themeFillShade="D9"/>
          </w:tcPr>
          <w:p w14:paraId="55925268" w14:textId="77777777" w:rsidR="002C643F" w:rsidRPr="006C6A4D" w:rsidRDefault="002C643F" w:rsidP="00F81F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6A4D">
              <w:rPr>
                <w:rFonts w:ascii="Times New Roman" w:hAnsi="Times New Roman"/>
                <w:b/>
                <w:bCs/>
                <w:sz w:val="18"/>
                <w:szCs w:val="18"/>
              </w:rPr>
              <w:t>Wirtualizacja zasobów dyskowych – 1 sztuka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634821" w14:textId="77777777" w:rsidR="002C643F" w:rsidRDefault="002C643F" w:rsidP="00F81F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Spełnia</w:t>
            </w:r>
          </w:p>
          <w:p w14:paraId="723D1D88" w14:textId="4EDC7AE3" w:rsidR="00D852A8" w:rsidRPr="006C6A4D" w:rsidRDefault="00D852A8" w:rsidP="00F81F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643F" w:rsidRPr="006C6A4D" w14:paraId="05B00386" w14:textId="2DA2DB53" w:rsidTr="002C643F">
        <w:trPr>
          <w:trHeight w:val="170"/>
        </w:trPr>
        <w:tc>
          <w:tcPr>
            <w:tcW w:w="2165" w:type="dxa"/>
          </w:tcPr>
          <w:p w14:paraId="123F9059" w14:textId="77777777" w:rsidR="002C643F" w:rsidRPr="006C6A4D" w:rsidRDefault="002C643F" w:rsidP="00F81F09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Obudowa Kontrolera</w:t>
            </w:r>
          </w:p>
        </w:tc>
        <w:tc>
          <w:tcPr>
            <w:tcW w:w="6667" w:type="dxa"/>
          </w:tcPr>
          <w:p w14:paraId="2B917130" w14:textId="6E286518" w:rsidR="002C643F" w:rsidRPr="006C6A4D" w:rsidRDefault="002C643F" w:rsidP="00ED3C59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Obudowa o wysokości maksymalnie 2U </w:t>
            </w:r>
            <w:r>
              <w:rPr>
                <w:rFonts w:ascii="Times New Roman" w:hAnsi="Times New Roman"/>
                <w:sz w:val="18"/>
                <w:szCs w:val="18"/>
              </w:rPr>
              <w:t>przeznaczona</w:t>
            </w:r>
            <w:r w:rsidRPr="006C6A4D">
              <w:rPr>
                <w:rFonts w:ascii="Times New Roman" w:hAnsi="Times New Roman"/>
                <w:sz w:val="18"/>
                <w:szCs w:val="18"/>
              </w:rPr>
              <w:t xml:space="preserve"> do zamontowania w szafie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rack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19" z zestawem szyn do mocowania w szafie i wysuwania do celów serwisowych. Co najmniej 24 zatoki przystosowane do instalacji dysków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14:paraId="5BC4CECD" w14:textId="444C3618" w:rsidR="002C643F" w:rsidRPr="006C6A4D" w:rsidRDefault="002C643F" w:rsidP="002C643F">
            <w:pPr>
              <w:ind w:left="14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4A8764D2" w14:textId="283E6B89" w:rsidTr="002C643F">
        <w:trPr>
          <w:trHeight w:val="170"/>
        </w:trPr>
        <w:tc>
          <w:tcPr>
            <w:tcW w:w="2165" w:type="dxa"/>
          </w:tcPr>
          <w:p w14:paraId="4C83F14A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Kontroler dyskowy</w:t>
            </w:r>
          </w:p>
        </w:tc>
        <w:tc>
          <w:tcPr>
            <w:tcW w:w="6667" w:type="dxa"/>
          </w:tcPr>
          <w:p w14:paraId="7CCC73E7" w14:textId="77777777" w:rsidR="002C643F" w:rsidRPr="006C6A4D" w:rsidRDefault="002C643F" w:rsidP="002C643F">
            <w:pPr>
              <w:autoSpaceDE w:val="0"/>
              <w:autoSpaceDN w:val="0"/>
              <w:adjustRightInd w:val="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Zainstalowane minimum dwa redundantne kontrolery pamięci dyskowej, pracujące w trybie symetrycznym Active-Active, obsługujące protokół komunikacji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z dyskami. Pod określeniem tryb Active-Active Zamawiający rozumie, że zasób pamięci dyskowej jest równolegle dostępny na co najmniej 8 portach należących do co najmniej 2 różnych kontrolerów pamięci dyskowej, a odczyt i zapis do dysków jest realizowany przez oba kontrolery jednocześnie. Każdy z kontrolerów musi mieć możliwość prezentacji wszystkich wolumenów utworzonych w ramach całej pamięci dyskowej. Każdy z kontrolerów musi posiadać co najmniej 360 GB pamięci cache. Każdy kontroler musi posiadać identyczną konfigurację (Ilość i parametry CPU, pojemość i parametry pamięci cache, parametry i ilość portów we/wy. Architektura rozwiązania musi gwarantować podłączanie półek dyskowych w oparciu o technologię zapewniającą transfer danych o szybkości min. 12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Gb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>/s.</w:t>
            </w:r>
          </w:p>
        </w:tc>
        <w:tc>
          <w:tcPr>
            <w:tcW w:w="1080" w:type="dxa"/>
            <w:vAlign w:val="center"/>
          </w:tcPr>
          <w:p w14:paraId="7DB0312B" w14:textId="65D6EC58" w:rsidR="002C643F" w:rsidRPr="006C6A4D" w:rsidRDefault="002C643F" w:rsidP="002C643F">
            <w:pPr>
              <w:autoSpaceDE w:val="0"/>
              <w:autoSpaceDN w:val="0"/>
              <w:adjustRightInd w:val="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76B648BB" w14:textId="6B5B4CFC" w:rsidTr="00BF5DFF">
        <w:trPr>
          <w:trHeight w:val="170"/>
        </w:trPr>
        <w:tc>
          <w:tcPr>
            <w:tcW w:w="2165" w:type="dxa"/>
          </w:tcPr>
          <w:p w14:paraId="4733A887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6667" w:type="dxa"/>
          </w:tcPr>
          <w:p w14:paraId="23D50D86" w14:textId="77777777" w:rsidR="002C643F" w:rsidRPr="006C6A4D" w:rsidRDefault="002C643F" w:rsidP="002C643F">
            <w:pPr>
              <w:spacing w:before="60" w:after="6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Architektura przetwarzania danych w ramach procesów wewnętrznych na kontrolerach musi być realizowana za pomocą procesorów firmy Intel serii co najmniej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Cascade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Lake.</w:t>
            </w:r>
          </w:p>
          <w:p w14:paraId="3F749649" w14:textId="77777777" w:rsidR="002C643F" w:rsidRPr="006C6A4D" w:rsidRDefault="002C643F" w:rsidP="002C643F">
            <w:pPr>
              <w:autoSpaceDE w:val="0"/>
              <w:autoSpaceDN w:val="0"/>
              <w:adjustRightInd w:val="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Każdy z kontrolerów musi być wyposażony w minimum dwa procesory,  po 16core każdy, o mocy minimum 2.1GHz.</w:t>
            </w:r>
          </w:p>
        </w:tc>
        <w:tc>
          <w:tcPr>
            <w:tcW w:w="1080" w:type="dxa"/>
            <w:vAlign w:val="center"/>
          </w:tcPr>
          <w:p w14:paraId="28A53DE2" w14:textId="5B41905B" w:rsidR="002C643F" w:rsidRPr="006C6A4D" w:rsidRDefault="002C643F" w:rsidP="002C643F">
            <w:pPr>
              <w:spacing w:before="60" w:after="6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1498F649" w14:textId="6643D4F3" w:rsidTr="00A91FC8">
        <w:trPr>
          <w:trHeight w:val="170"/>
        </w:trPr>
        <w:tc>
          <w:tcPr>
            <w:tcW w:w="2165" w:type="dxa"/>
          </w:tcPr>
          <w:p w14:paraId="4A112272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6667" w:type="dxa"/>
          </w:tcPr>
          <w:p w14:paraId="0E635AA4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Dwa w pełni redundantne zasilacze zasilane napięciem 230V</w:t>
            </w:r>
          </w:p>
        </w:tc>
        <w:tc>
          <w:tcPr>
            <w:tcW w:w="1080" w:type="dxa"/>
            <w:vAlign w:val="center"/>
          </w:tcPr>
          <w:p w14:paraId="534D63EA" w14:textId="7403CB1F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343F715F" w14:textId="5AFEE897" w:rsidTr="006E301F">
        <w:trPr>
          <w:trHeight w:val="170"/>
        </w:trPr>
        <w:tc>
          <w:tcPr>
            <w:tcW w:w="2165" w:type="dxa"/>
          </w:tcPr>
          <w:p w14:paraId="4B2D048B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Porty sieciowe</w:t>
            </w:r>
          </w:p>
        </w:tc>
        <w:tc>
          <w:tcPr>
            <w:tcW w:w="6667" w:type="dxa"/>
          </w:tcPr>
          <w:p w14:paraId="191420EA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Każdy z dostarczanych kontrolerów macierzy dyskowej musi być wyposażony w co najmniej 4 interfejsy FC, każdy o przepustowości co najmniej 32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Gbps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. Każdy z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Portow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FC musi być obsadzony właściwą do komunikacji wkładką 32Gbps SFP SW.</w:t>
            </w:r>
          </w:p>
        </w:tc>
        <w:tc>
          <w:tcPr>
            <w:tcW w:w="1080" w:type="dxa"/>
            <w:vAlign w:val="center"/>
          </w:tcPr>
          <w:p w14:paraId="002DC7DE" w14:textId="43818B3B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3B64F4E6" w14:textId="77594F69" w:rsidTr="00FF52FA">
        <w:trPr>
          <w:trHeight w:val="170"/>
        </w:trPr>
        <w:tc>
          <w:tcPr>
            <w:tcW w:w="2165" w:type="dxa"/>
          </w:tcPr>
          <w:p w14:paraId="00ED247B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Dyski</w:t>
            </w:r>
          </w:p>
        </w:tc>
        <w:tc>
          <w:tcPr>
            <w:tcW w:w="6667" w:type="dxa"/>
          </w:tcPr>
          <w:p w14:paraId="249D236E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Co najmniej 16 wewnętrznych dysków SSD, każdy w technologii co najmniej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1.4, każdy o pojemności co najmniej 7.6 TB i posiadający podwójne interfejsy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</w:rPr>
              <w:t xml:space="preserve"> do komunikacji z kontrolerami pamięci dyskowej.</w:t>
            </w:r>
          </w:p>
        </w:tc>
        <w:tc>
          <w:tcPr>
            <w:tcW w:w="1080" w:type="dxa"/>
            <w:vAlign w:val="center"/>
          </w:tcPr>
          <w:p w14:paraId="38485F17" w14:textId="78221F68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235EF0D2" w14:textId="4B74C574" w:rsidTr="00BE2E89">
        <w:trPr>
          <w:trHeight w:val="170"/>
        </w:trPr>
        <w:tc>
          <w:tcPr>
            <w:tcW w:w="2165" w:type="dxa"/>
          </w:tcPr>
          <w:p w14:paraId="2B13FAE7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Gwarancja</w:t>
            </w:r>
          </w:p>
        </w:tc>
        <w:tc>
          <w:tcPr>
            <w:tcW w:w="6667" w:type="dxa"/>
          </w:tcPr>
          <w:p w14:paraId="388D3BE5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Minimum 3 lata gwarancji producenta liczonej od daty dostawy urządzenia, świadczonej w miejscu instalacji sprzętu, z czasem naprawy w kolejnym dniu roboczym od przyjęcia zgłoszenia, możliwość zgłaszania awarii poprzez linię telefoniczną producenta lub firmy serwisującej. </w:t>
            </w:r>
          </w:p>
          <w:p w14:paraId="1D3FA113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W przypadku uszkodzenia dysku twardego uszkodzony dysk pozostaje u Zamawiającego.</w:t>
            </w:r>
          </w:p>
          <w:p w14:paraId="2D132A6C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Urządzenie musi być fabrycznie nowe.</w:t>
            </w:r>
          </w:p>
          <w:p w14:paraId="534F46E0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Urządzenie musi pochodzić z autoryzowanego kanału dystrybucji producenta.</w:t>
            </w:r>
          </w:p>
        </w:tc>
        <w:tc>
          <w:tcPr>
            <w:tcW w:w="1080" w:type="dxa"/>
            <w:vAlign w:val="center"/>
          </w:tcPr>
          <w:p w14:paraId="59C7D3A6" w14:textId="0115B181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4BF6218C" w14:textId="620F5F58" w:rsidTr="00ED0CC5">
        <w:trPr>
          <w:trHeight w:val="170"/>
        </w:trPr>
        <w:tc>
          <w:tcPr>
            <w:tcW w:w="2165" w:type="dxa"/>
          </w:tcPr>
          <w:p w14:paraId="0C495BEB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 xml:space="preserve">Dokumenty  </w:t>
            </w:r>
          </w:p>
        </w:tc>
        <w:tc>
          <w:tcPr>
            <w:tcW w:w="6667" w:type="dxa"/>
          </w:tcPr>
          <w:p w14:paraId="7557FF9D" w14:textId="77777777" w:rsidR="002C643F" w:rsidRPr="006C6A4D" w:rsidRDefault="002C643F" w:rsidP="002C643F">
            <w:pPr>
              <w:autoSpaceDE w:val="0"/>
              <w:autoSpaceDN w:val="0"/>
              <w:adjustRightInd w:val="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Zamawiający wymaga dostarczenia wraz z dostawą urządzenia, poświadczenia producenta o oryginalnym pochodzeniu sprzętu  z oficjalnego kanału sprzedażowego.</w:t>
            </w:r>
          </w:p>
        </w:tc>
        <w:tc>
          <w:tcPr>
            <w:tcW w:w="1080" w:type="dxa"/>
            <w:vAlign w:val="center"/>
          </w:tcPr>
          <w:p w14:paraId="02C99D39" w14:textId="1879BEE4" w:rsidR="002C643F" w:rsidRPr="006C6A4D" w:rsidRDefault="002C643F" w:rsidP="002C643F">
            <w:pPr>
              <w:autoSpaceDE w:val="0"/>
              <w:autoSpaceDN w:val="0"/>
              <w:adjustRightInd w:val="0"/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3EF4C929" w14:textId="0BA1368D" w:rsidTr="008E7D77">
        <w:trPr>
          <w:trHeight w:val="170"/>
        </w:trPr>
        <w:tc>
          <w:tcPr>
            <w:tcW w:w="2165" w:type="dxa"/>
          </w:tcPr>
          <w:p w14:paraId="3C71C6E9" w14:textId="77777777" w:rsidR="002C643F" w:rsidRPr="006C6A4D" w:rsidRDefault="002C643F" w:rsidP="002C643F">
            <w:pPr>
              <w:ind w:right="1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Wspierane typy RAID</w:t>
            </w:r>
          </w:p>
        </w:tc>
        <w:tc>
          <w:tcPr>
            <w:tcW w:w="6667" w:type="dxa"/>
          </w:tcPr>
          <w:p w14:paraId="73E8A452" w14:textId="77777777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6A4D">
              <w:rPr>
                <w:rFonts w:ascii="Times New Roman" w:hAnsi="Times New Roman"/>
                <w:sz w:val="18"/>
                <w:szCs w:val="18"/>
              </w:rPr>
              <w:t>RAID10, RAID5, RAID6</w:t>
            </w:r>
          </w:p>
        </w:tc>
        <w:tc>
          <w:tcPr>
            <w:tcW w:w="1080" w:type="dxa"/>
            <w:vAlign w:val="center"/>
          </w:tcPr>
          <w:p w14:paraId="42B68475" w14:textId="7F669C09" w:rsidR="002C643F" w:rsidRPr="006C6A4D" w:rsidRDefault="002C643F" w:rsidP="002C643F">
            <w:pPr>
              <w:ind w:left="144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2C643F" w:rsidRPr="006C6A4D" w14:paraId="62094191" w14:textId="6F04670A" w:rsidTr="00D852A8">
        <w:trPr>
          <w:trHeight w:val="17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14:paraId="16F1E6CB" w14:textId="7BD20AA7" w:rsidR="002C643F" w:rsidRPr="006C6A4D" w:rsidRDefault="002C643F" w:rsidP="002C64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6A4D">
              <w:rPr>
                <w:rFonts w:ascii="Times New Roman" w:hAnsi="Times New Roman"/>
                <w:b/>
                <w:bCs/>
                <w:sz w:val="18"/>
                <w:szCs w:val="18"/>
              </w:rPr>
              <w:t>Parametry szczegółowe</w:t>
            </w:r>
          </w:p>
        </w:tc>
      </w:tr>
      <w:tr w:rsidR="002C643F" w:rsidRPr="006C6A4D" w14:paraId="42A99491" w14:textId="592FAC79" w:rsidTr="00F45AF9">
        <w:trPr>
          <w:trHeight w:val="170"/>
        </w:trPr>
        <w:tc>
          <w:tcPr>
            <w:tcW w:w="8832" w:type="dxa"/>
            <w:gridSpan w:val="2"/>
          </w:tcPr>
          <w:p w14:paraId="18255316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Pełna wewnętrzna redundancja kontrolerów, portów wewnętrznych, zasilania, chłodzenia i ścieżek danych na poziomie minimum N+1.</w:t>
            </w:r>
          </w:p>
          <w:p w14:paraId="6AF12CAF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Możliwość uaktualniania oprogramowania systemowego bez przerywania działania pamięci dyskowej z utrzymaniem wszystkich funkcjonalności.</w:t>
            </w:r>
          </w:p>
          <w:p w14:paraId="414C3088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Urządzenie musi być wyposażone w system zapewniający bezpieczne, bez utraty danych, automatyczne wyłączenie w przypadku całkowitego zaniku zasilania,</w:t>
            </w:r>
          </w:p>
          <w:p w14:paraId="22EEAE18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umożliwiać wymianę kontrolerów, zasilaczy i wentylatorów w trybie Hot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Swap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- w trakcie pracy pamięci dyskowej.</w:t>
            </w:r>
          </w:p>
          <w:p w14:paraId="39999CA5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Urządzenie musi umożliwiać stosowani</w:t>
            </w:r>
            <w:r>
              <w:rPr>
                <w:rFonts w:ascii="Times New Roman" w:hAnsi="Times New Roman"/>
                <w:sz w:val="18"/>
                <w:szCs w:val="18"/>
                <w:lang w:eastAsia="x-none"/>
              </w:rPr>
              <w:t>e</w:t>
            </w: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dysków Hot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Spare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i wymianę dysków w trybie Hot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Swap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.</w:t>
            </w:r>
          </w:p>
          <w:p w14:paraId="551B3C2F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Nie dopuszcza się użycia pamięci cache zbudowanej w formie dysków SSD lub Flash itp.</w:t>
            </w:r>
          </w:p>
          <w:p w14:paraId="10E0B38A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W przypadku awarii zasilania niezsynchronizowane dane w pamięci cache muszą być zabezpieczone metodą trwałego zapisu do pamięci nieulotnej lub pamięć powinna być podtrzymana bateryjnie przez minimum 72h.</w:t>
            </w:r>
          </w:p>
          <w:p w14:paraId="17546E28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obsługiwać standard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w wersji co najmniej 1.4.</w:t>
            </w:r>
          </w:p>
          <w:p w14:paraId="1D12B0C7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umożliwiać instalację dysków wewnętrznych w standardzie minimum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NVMe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i SAS-3.</w:t>
            </w:r>
          </w:p>
          <w:p w14:paraId="71147744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Urządzenie musi umożliwiać rozbudowę interfejsów sieciowych do:</w:t>
            </w:r>
          </w:p>
          <w:p w14:paraId="393055A7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lastRenderedPageBreak/>
              <w:t xml:space="preserve">co najmniej 16 interfejsów FC, każdy o przepustowości co najmniej 32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Gbp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oraz</w:t>
            </w:r>
          </w:p>
          <w:p w14:paraId="0E52BB84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co najmniej 4 interfejsów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iSCSI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, każdy o przepustowości co najmniej 10Gbps.</w:t>
            </w:r>
          </w:p>
          <w:p w14:paraId="16F0743F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Urządzenie musi umożliwiać rozłożenie danych z jednego wolumenu logicznego na wielu dyskach, w które jest wyposażone. W przypadku rozbudowy wymagane jest autonomiczne równoważenie zajętości zasobów w trybie on-line.</w:t>
            </w:r>
          </w:p>
          <w:p w14:paraId="21A85EB1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posiadać zaimplementowaną funkcjonalność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thin-provisioning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, polegającą na możliwości zaprezentowania do serwerów powierzchni większej niż zainstalowana fizyczna.</w:t>
            </w:r>
          </w:p>
          <w:p w14:paraId="534582EB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posiadać wbudowane, realizowane przez kontrolery, mechanizmy kompresji i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deduplikacji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danych w trybie in-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line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.</w:t>
            </w:r>
          </w:p>
          <w:p w14:paraId="2CBC4A50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umożliwiać wsparcie dla funkcjonalności zdalnej replikacji danych w trybie synchronicznym i asynchronicznym z wykorzystaniem protokołów IP oraz FC. Oprogramowanie musi zapewniać funkcjonalność zawieszania replikacji i ponownej przyrostowej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resynchronizacji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kopii z oryginałem oraz zmiany ról oryginału i kopii (dla określonej pary dysków logicznych LUN macierzy) z poziomu interfejsu administratora.</w:t>
            </w:r>
          </w:p>
          <w:p w14:paraId="4E7BA9D7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oferować wsparcie dla architektury dwuośrodkowej DR wykorzystującej do zarządzania oprogramowanie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VMware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SRM.</w:t>
            </w:r>
          </w:p>
          <w:p w14:paraId="792F8195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umożliwiać integrację z oprogramowaniem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Veeam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Backup &amp; Replication pozwalającą na wykonywanie kopii migawkowych na macierzy z konsoli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Veeam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na potrzeby tworzenia kopii bezpieczeństwa. </w:t>
            </w:r>
          </w:p>
          <w:p w14:paraId="2E8B2139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Urządzenie musi umożliwiać dokonywania na żądanie tzw. migawkowej kopii danych (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snapshot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, point in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time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) w ramach macierzy za pomocą wewnętrznych kontrolerów macierzowych. Kopia migawkowa wykonuje się bez konieczności wcześniejszego alokowania dodatkowej przestrzeni dyskowej na potrzeby kopii. Zajmowanie dodatkowej przestrzeni dyskowej następuje w momencie zmiany danych na dysku źródłowym lub na jego kopii. Oferowane urządzenie musi obsługiwać minimum 500 000 kopii migawkowych (1024 per udział/dysk logiczny). Realizacja kopii migawkowych w trybie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Copy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-on-Write nie jest dopuszczona. Możliwość tworzenia harmonogramów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snapshotów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dla wybranych wolumenów logicznych automatyzujących ich tworzenie i usuwanie wraz z nałożeniem retencji tj. sprzętową na poziomie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firmware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blokadą ich usunięcia i zmiany zgodnie z ustaloną przez administratora polityką. </w:t>
            </w:r>
          </w:p>
          <w:p w14:paraId="2A86575C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Tworzenie na żądanie kopii danych typu klon w ramach macierzy za pomocą wewnętrznych kontrolerów macierzowych. Dostarczenie tej funkcjonalności jest wymagane na tym etapie postępowania</w:t>
            </w:r>
            <w:r>
              <w:rPr>
                <w:rFonts w:ascii="Times New Roman" w:hAnsi="Times New Roman"/>
                <w:sz w:val="18"/>
                <w:szCs w:val="18"/>
                <w:lang w:eastAsia="x-none"/>
              </w:rPr>
              <w:t>.</w:t>
            </w:r>
          </w:p>
          <w:p w14:paraId="7ED21B1E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Możliwość kaskadowego łączenia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snapshotów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ze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snapshotami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, klonami i wolumenami replikowanymi do innych macierzy.</w:t>
            </w:r>
          </w:p>
          <w:p w14:paraId="5D673EAA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Urządzenie musi umożliwiać migrację dysków logicznych pomiędzy grupami zabezpieczonymi różnymi typami RAID. Migracja odbywa się w trybie on-line bez przerywania pracy systemu/aplikacji korzystającej z danych migrowanego woluminu. </w:t>
            </w:r>
          </w:p>
          <w:p w14:paraId="5CDBE7D5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Macierz musi umożliwiać konfigurację gwarancji wydajności typ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QoS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dla wybranych wolumenów logicznych w zakresie: wydajności w IOPS, wydajność w MB/s.</w:t>
            </w:r>
          </w:p>
          <w:p w14:paraId="7B59BBAE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Nie jest dopuszczalne rozwiązanie, w którym usługi protokołu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Fibre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Channel realizowane są w oparciu o emulację protokołu FC na wewnętrznym systemie plików pamięci dyskowej.</w:t>
            </w:r>
          </w:p>
          <w:p w14:paraId="3C81F23B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Jeśli jest to konieczne, wraz z pamięcią dyskową muszą zostać dostarczone licencje na funkcję kontrolerów umożliwiającą wykorzystywanie obu kontrolerów pamięci dyskowej w taki sposób, aby oprogramowanie zainstalowane w systemie operacyjnym klienta (serwera do wirtualizacji pamięci dyskowej) automatyczne przełączało ścieżki do zasobów, np. w przypadku uszkodzenia portu karty HBA, przełącznika SAN, kontrolera pamięci dyskowej czy przewodu światłowodowego.</w:t>
            </w:r>
          </w:p>
          <w:p w14:paraId="60368A30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Dostarczane oprogramowanie zarządzające pamięcią dyskową oraz licencje umożliwiają:</w:t>
            </w:r>
          </w:p>
          <w:p w14:paraId="27603B97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stałe monitorowanie stanu macierzy przez jej producenta z wykorzystaniem połączenia internetowego i protokołu HTTPS.</w:t>
            </w:r>
          </w:p>
          <w:p w14:paraId="31DAD5C4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informowanie o wykorzystaniu zasobów dyskowych macierzy m.in. całkowitej pojemności przestrzeni dyskowej macierzy, wykorzystanej przestrzeni dyskowej, skonfigurowanej przestrzeni przydzielonej do serwerów i nie przydzielonej do serwerów oraz przestrzeni nie skonfigurowanej (wolnej); </w:t>
            </w:r>
          </w:p>
          <w:p w14:paraId="334785BD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monitorowanie zasobów wykorzystujących funkcjonalność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thin-provisioning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i ostrzeganie z wyprzedzeniem o możliwości wyczerpania zasobów; </w:t>
            </w:r>
          </w:p>
          <w:p w14:paraId="59E26CB7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monitorowanie stanu pracy par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replikacyjnych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, kopii migawkowych i klonów oraz funkcjonalności klastra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active-active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; </w:t>
            </w:r>
          </w:p>
          <w:p w14:paraId="5E718624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bieżące monitorowanie wydajności macierzy mierzonej w operacjach IOPS (zapis i odczyt), strumieniu MB/s (zapis i odczyt) oraz czasów odpowiedzi RT (zapis i odczyt) m.in. dla poszczególnych wolumenów logicznych, puli dyskowych oraz portów; </w:t>
            </w:r>
          </w:p>
          <w:p w14:paraId="4433EEDE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przygotowywanie raportów historycznych z okresu co najmniej 12 miesięcy zawierających informacje o wydajności mierzonej w IOPS i MB/s dla poszczególnych wolumenów logicznych i puli dyskowych. </w:t>
            </w:r>
          </w:p>
          <w:p w14:paraId="175F81AF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wykrywanie błędów i izolowanie uszkodzeń, monitorowanie w czasie rzeczywistym.</w:t>
            </w:r>
          </w:p>
          <w:p w14:paraId="45FED18B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zarządzanie macierzą z graficznego interfejsu użytkownika (GUI), linii komend (CLI) oraz programowego REST API.</w:t>
            </w:r>
          </w:p>
          <w:p w14:paraId="5BB99976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monitoring i analizę wydajności systemu pamięci masowej, przełączników SAN oraz serwerów.</w:t>
            </w:r>
          </w:p>
          <w:p w14:paraId="7A412725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monitorowanie parametrów wydajnościowych w zakresie co najmniej IOPS, MB/s oraz czasów odpowiedzi RT i raportowanie przekroczenia zdefiniowanych progów.</w:t>
            </w:r>
          </w:p>
          <w:p w14:paraId="3087AA22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korelację zmian parametrów wydajnościowych ze zmianami konfiguracji w środowisku.</w:t>
            </w:r>
          </w:p>
          <w:p w14:paraId="5F969F36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generowanie alertów dla administratora przez e-mail, SNMP</w:t>
            </w:r>
          </w:p>
          <w:p w14:paraId="3066B1AF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wykorzystanie zewnętrznych serwerów uwierzytelniania użytkowników: MS AD/LDAP</w:t>
            </w:r>
          </w:p>
          <w:p w14:paraId="6EBB62F5" w14:textId="77777777" w:rsidR="002C643F" w:rsidRPr="006C6A4D" w:rsidRDefault="002C643F" w:rsidP="002C643F">
            <w:pPr>
              <w:keepNext/>
              <w:keepLines/>
              <w:numPr>
                <w:ilvl w:val="1"/>
                <w:numId w:val="1"/>
              </w:numPr>
              <w:ind w:left="1134" w:hanging="715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Zarzadzanie i, oraz  konfiguracja systemu kopii migawkowych wraz z repliką na inne ośrodki za pomocą GUI</w:t>
            </w:r>
          </w:p>
          <w:p w14:paraId="25D04FC9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Dostarczone oprogramowanie realizujące ww. funkcjonalności musi być udostępniane przez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firmware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urządzenia lub w przypadku funkcji zarządzających </w:t>
            </w:r>
            <w:proofErr w:type="spellStart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firmware</w:t>
            </w:r>
            <w:proofErr w:type="spellEnd"/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i/lub oprogramowanie serwerowe. Bez modyfikacji wprowadzanych przez Wykonawcę i jest to standardowe oprogramowanie producenta urządzenia. Zamawiający nie dopuszcza takiej sytuacji, w której oprogramowanie urządzenia jest specjalnie przygotowane dla Zamawiającego lub jest to oprogramowanie firm innych niż producenta dostarczanego urządzenia. </w:t>
            </w:r>
          </w:p>
          <w:p w14:paraId="43919262" w14:textId="77777777" w:rsidR="002C643F" w:rsidRPr="006C6A4D" w:rsidRDefault="002C643F" w:rsidP="002C643F">
            <w:pPr>
              <w:keepNext/>
              <w:keepLines/>
              <w:numPr>
                <w:ilvl w:val="0"/>
                <w:numId w:val="1"/>
              </w:numPr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Oferowane funkcjonalności i parametry muszą być możliwe do zweryfikowania na ogólnie dostępnej stronie internetowej producenta w celu sprawdzenia, że oferowany produkt spełnia ww. wymagania. </w:t>
            </w:r>
          </w:p>
        </w:tc>
        <w:tc>
          <w:tcPr>
            <w:tcW w:w="1080" w:type="dxa"/>
            <w:vAlign w:val="center"/>
          </w:tcPr>
          <w:p w14:paraId="14F876AD" w14:textId="3B913D72" w:rsidR="002C643F" w:rsidRPr="006C6A4D" w:rsidRDefault="002C643F" w:rsidP="002C643F">
            <w:pPr>
              <w:keepNext/>
              <w:keepLines/>
              <w:ind w:left="0" w:firstLine="0"/>
              <w:jc w:val="left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TAK/NIE</w:t>
            </w:r>
          </w:p>
        </w:tc>
      </w:tr>
    </w:tbl>
    <w:p w14:paraId="0B90F4BF" w14:textId="71173368" w:rsidR="00F03950" w:rsidRPr="00F03950" w:rsidRDefault="00F03950" w:rsidP="00BD11D4">
      <w:pPr>
        <w:ind w:left="0" w:firstLine="0"/>
        <w:jc w:val="both"/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C4A08" w:rsidRPr="008610F4" w14:paraId="224917DA" w14:textId="77777777" w:rsidTr="00D852A8">
        <w:trPr>
          <w:trHeight w:val="170"/>
        </w:trPr>
        <w:tc>
          <w:tcPr>
            <w:tcW w:w="10173" w:type="dxa"/>
            <w:shd w:val="clear" w:color="auto" w:fill="D9D9D9" w:themeFill="background1" w:themeFillShade="D9"/>
          </w:tcPr>
          <w:p w14:paraId="0B42F1F6" w14:textId="77777777" w:rsidR="006C4A08" w:rsidRPr="006C6A4D" w:rsidRDefault="006C4A08" w:rsidP="00F81F0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6A4D">
              <w:rPr>
                <w:rFonts w:ascii="Times New Roman" w:hAnsi="Times New Roman"/>
                <w:b/>
                <w:bCs/>
                <w:sz w:val="18"/>
                <w:szCs w:val="18"/>
              </w:rPr>
              <w:t>Wymagane usługi wdrożeniowe</w:t>
            </w:r>
          </w:p>
        </w:tc>
      </w:tr>
      <w:tr w:rsidR="006C4A08" w:rsidRPr="008610F4" w14:paraId="4BF23ADD" w14:textId="77777777" w:rsidTr="00F81F09">
        <w:trPr>
          <w:trHeight w:val="170"/>
        </w:trPr>
        <w:tc>
          <w:tcPr>
            <w:tcW w:w="10173" w:type="dxa"/>
          </w:tcPr>
          <w:p w14:paraId="6924C37C" w14:textId="77777777" w:rsidR="006C4A08" w:rsidRDefault="006C4A08" w:rsidP="00F81F09">
            <w:pPr>
              <w:keepNext/>
              <w:keepLines/>
              <w:ind w:hanging="317"/>
              <w:jc w:val="left"/>
              <w:outlineLvl w:val="1"/>
              <w:rPr>
                <w:rFonts w:cs="Calibri"/>
                <w:sz w:val="18"/>
                <w:szCs w:val="18"/>
                <w:lang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W ramach wdrożenia Wykonawca zobowiązany jest do:</w:t>
            </w:r>
          </w:p>
          <w:p w14:paraId="426C5C37" w14:textId="77777777" w:rsidR="006C4A08" w:rsidRPr="00387E10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dostawy urządzenia do wskazanej lokalizacji,</w:t>
            </w:r>
          </w:p>
          <w:p w14:paraId="521A8099" w14:textId="77777777" w:rsidR="006C4A08" w:rsidRPr="00D86E8B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 xml:space="preserve">montażu i przeprowadzenia podstawowej konfiguracji urządzenia – ustawienie podstawowych parametrów pracy urządzenia, aktualizację </w:t>
            </w:r>
            <w:proofErr w:type="spellStart"/>
            <w:r>
              <w:rPr>
                <w:rFonts w:cs="Calibri"/>
                <w:sz w:val="18"/>
                <w:szCs w:val="18"/>
                <w:lang w:eastAsia="x-none"/>
              </w:rPr>
              <w:t>firmware</w:t>
            </w:r>
            <w:proofErr w:type="spellEnd"/>
            <w:r>
              <w:rPr>
                <w:rFonts w:cs="Calibri"/>
                <w:sz w:val="18"/>
                <w:szCs w:val="18"/>
                <w:lang w:eastAsia="x-none"/>
              </w:rPr>
              <w:t>, podłączenie do sieci energetycznej i logicznej, itp.</w:t>
            </w:r>
          </w:p>
          <w:p w14:paraId="5DC44685" w14:textId="77777777" w:rsidR="006C4A08" w:rsidRPr="00387E10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zutylizowania we własnym zakresie wszelkich opakowań transportowych poza lokalizacją Zamawiającego,</w:t>
            </w:r>
          </w:p>
          <w:p w14:paraId="4DD24D75" w14:textId="77777777" w:rsidR="006C4A08" w:rsidRPr="00387E10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instalacji i konfiguracji oprogramowania zarządzającego,</w:t>
            </w:r>
          </w:p>
          <w:p w14:paraId="17F265FC" w14:textId="77777777" w:rsidR="006C4A08" w:rsidRPr="00D86E8B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 w:rsidRPr="00D86E8B">
              <w:rPr>
                <w:rFonts w:cs="Calibri"/>
                <w:sz w:val="18"/>
                <w:szCs w:val="18"/>
                <w:lang w:eastAsia="x-none"/>
              </w:rPr>
              <w:t>konfiguracji zasobów dyskowych zgodnie z ustaleniami z zamawiającym oraz ich prezentacji do serwerów</w:t>
            </w:r>
            <w:r>
              <w:rPr>
                <w:rFonts w:cs="Calibri"/>
                <w:sz w:val="18"/>
                <w:szCs w:val="18"/>
                <w:lang w:eastAsia="x-none"/>
              </w:rPr>
              <w:t>.,</w:t>
            </w:r>
          </w:p>
          <w:p w14:paraId="493F3E47" w14:textId="77777777" w:rsidR="006C4A08" w:rsidRPr="00387E10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migrację danych blokowych z posiadanej macierzy dyskowej na nowe urządzenie w terminie ustalonym z zamawiającym,</w:t>
            </w:r>
          </w:p>
          <w:p w14:paraId="1A44F972" w14:textId="77777777" w:rsidR="006C4A08" w:rsidRPr="00387E10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 xml:space="preserve">integracji urządzenia z oprogramowaniem </w:t>
            </w:r>
            <w:proofErr w:type="spellStart"/>
            <w:r>
              <w:rPr>
                <w:rFonts w:cs="Calibri"/>
                <w:sz w:val="18"/>
                <w:szCs w:val="18"/>
                <w:lang w:eastAsia="x-none"/>
              </w:rPr>
              <w:t>Veeam</w:t>
            </w:r>
            <w:proofErr w:type="spellEnd"/>
            <w:r>
              <w:rPr>
                <w:rFonts w:cs="Calibri"/>
                <w:sz w:val="18"/>
                <w:szCs w:val="18"/>
                <w:lang w:eastAsia="x-none"/>
              </w:rPr>
              <w:t xml:space="preserve"> B&amp;R,</w:t>
            </w:r>
          </w:p>
          <w:p w14:paraId="6322411C" w14:textId="77777777" w:rsidR="006C4A08" w:rsidRPr="00F551F8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opracowania i implementacji harmonogramów dla kopii migawkowych, automatyzujących ich wykonywanie oraz kasowanie z uwzględnieniem blokad opartych o czas retencji.</w:t>
            </w:r>
          </w:p>
          <w:p w14:paraId="3428BFF1" w14:textId="77777777" w:rsidR="006C4A08" w:rsidRPr="00DC4DF6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podłączenie urządzenia do centrum serwisowego producenta tak aby umożliwić automatyczne powiadamianie o ewentualnych problemach.</w:t>
            </w:r>
          </w:p>
          <w:p w14:paraId="1A584231" w14:textId="77777777" w:rsidR="006C4A08" w:rsidRPr="00DC4DF6" w:rsidRDefault="006C4A08" w:rsidP="006C4A08">
            <w:pPr>
              <w:pStyle w:val="Akapitzlist"/>
              <w:keepNext/>
              <w:keepLines/>
              <w:numPr>
                <w:ilvl w:val="0"/>
                <w:numId w:val="2"/>
              </w:numPr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opracowania projektu powykonawczego wdrożonego rozwiązania</w:t>
            </w:r>
          </w:p>
          <w:p w14:paraId="46F009C6" w14:textId="77777777" w:rsidR="006C4A08" w:rsidRPr="006C6A4D" w:rsidRDefault="006C4A08" w:rsidP="00F81F09">
            <w:pPr>
              <w:keepNext/>
              <w:keepLines/>
              <w:ind w:hanging="317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Wykonawca przeprowadzi szkolenie w formie warsztatów dla co najmniej dwóch pracowników Zamawiającego. Szkolenie od strony merytorycznej musi obejmować:</w:t>
            </w:r>
          </w:p>
          <w:p w14:paraId="01B3BEB6" w14:textId="77777777" w:rsidR="006C4A08" w:rsidRPr="00F551F8" w:rsidRDefault="006C4A08" w:rsidP="006C4A08">
            <w:pPr>
              <w:pStyle w:val="Akapitzlist"/>
              <w:keepNext/>
              <w:keepLines/>
              <w:numPr>
                <w:ilvl w:val="0"/>
                <w:numId w:val="3"/>
              </w:numPr>
              <w:jc w:val="both"/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 w:rsidRPr="00F551F8">
              <w:rPr>
                <w:rFonts w:cs="Calibri"/>
                <w:sz w:val="18"/>
                <w:szCs w:val="18"/>
                <w:lang w:val="x-none" w:eastAsia="x-none"/>
              </w:rPr>
              <w:t>transfer wiedzy z użytych w czasie wdrożenia funkcjonalności oraz technik ich konfiguracji</w:t>
            </w:r>
            <w:r>
              <w:rPr>
                <w:rFonts w:cs="Calibri"/>
                <w:sz w:val="18"/>
                <w:szCs w:val="18"/>
                <w:lang w:eastAsia="x-none"/>
              </w:rPr>
              <w:t>.</w:t>
            </w:r>
          </w:p>
          <w:p w14:paraId="67A7EE0F" w14:textId="77777777" w:rsidR="006C4A08" w:rsidRPr="00455CEF" w:rsidRDefault="006C4A08" w:rsidP="006C4A08">
            <w:pPr>
              <w:pStyle w:val="Akapitzlist"/>
              <w:keepNext/>
              <w:keepLines/>
              <w:numPr>
                <w:ilvl w:val="0"/>
                <w:numId w:val="3"/>
              </w:numPr>
              <w:jc w:val="both"/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>jeżeli to konieczne, założenie kont dla pracowników Zamawiającego w portalu producenta z aktualną dokumentacją instalacyjną oraz użytkową dla dostarczonego urządzenia. Poinstruowanie pracowników co do zakresu obowiązkowej dokumentacji uwzględniając użyte w ramach wdrożenia funkcjonalności.</w:t>
            </w:r>
          </w:p>
          <w:p w14:paraId="30649A28" w14:textId="77777777" w:rsidR="006C4A08" w:rsidRPr="00455CEF" w:rsidRDefault="006C4A08" w:rsidP="006C4A08">
            <w:pPr>
              <w:pStyle w:val="Akapitzlist"/>
              <w:keepNext/>
              <w:keepLines/>
              <w:numPr>
                <w:ilvl w:val="0"/>
                <w:numId w:val="3"/>
              </w:numPr>
              <w:jc w:val="both"/>
              <w:outlineLvl w:val="1"/>
              <w:rPr>
                <w:rFonts w:cs="Calibri"/>
                <w:sz w:val="18"/>
                <w:szCs w:val="18"/>
                <w:lang w:val="x-none" w:eastAsia="x-none"/>
              </w:rPr>
            </w:pPr>
            <w:r>
              <w:rPr>
                <w:rFonts w:cs="Calibri"/>
                <w:sz w:val="18"/>
                <w:szCs w:val="18"/>
                <w:lang w:eastAsia="x-none"/>
              </w:rPr>
              <w:t xml:space="preserve">omówienie procedur serwisowych i eskalacyjnych w przypadku zaistnienia problemów. </w:t>
            </w:r>
          </w:p>
          <w:p w14:paraId="1E7ABFCF" w14:textId="77777777" w:rsidR="006C4A08" w:rsidRPr="006C6A4D" w:rsidRDefault="006C4A08" w:rsidP="00F81F09">
            <w:pPr>
              <w:keepNext/>
              <w:keepLines/>
              <w:ind w:hanging="317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61D226B" w14:textId="77777777" w:rsidR="006C4A08" w:rsidRPr="006C6A4D" w:rsidRDefault="006C4A08" w:rsidP="00F81F09">
            <w:pPr>
              <w:keepNext/>
              <w:keepLines/>
              <w:ind w:hanging="317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>Przez okres 3 miesięcy od zakończenia wdrożenia, Wykonawca zapewni rozszerzone wsparcie merytoryczne z zakresu konfiguracji i integracji dostarczonego urządzenia z systemami Zamawiającego. Wsparcie musi obejmować konsultacje telefoniczne, pracę zdalną w środowisku Zamawiającego oraz</w:t>
            </w:r>
            <w:r w:rsidR="00536C07">
              <w:rPr>
                <w:rFonts w:ascii="Times New Roman" w:hAnsi="Times New Roman"/>
                <w:sz w:val="18"/>
                <w:szCs w:val="18"/>
                <w:lang w:eastAsia="x-none"/>
              </w:rPr>
              <w:t>,</w:t>
            </w: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jeżeli będzie to konieczne</w:t>
            </w:r>
            <w:r w:rsidR="00536C07">
              <w:rPr>
                <w:rFonts w:ascii="Times New Roman" w:hAnsi="Times New Roman"/>
                <w:sz w:val="18"/>
                <w:szCs w:val="18"/>
                <w:lang w:eastAsia="x-none"/>
              </w:rPr>
              <w:t>,</w:t>
            </w:r>
            <w:r w:rsidRPr="006C6A4D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pracę w siedzibie Zamawiającego.</w:t>
            </w:r>
          </w:p>
          <w:p w14:paraId="06BE41E2" w14:textId="77777777" w:rsidR="006C4A08" w:rsidRPr="00DC4DF6" w:rsidRDefault="006C4A08" w:rsidP="00F81F09">
            <w:pPr>
              <w:keepNext/>
              <w:keepLines/>
              <w:ind w:hanging="317"/>
              <w:jc w:val="both"/>
              <w:outlineLvl w:val="1"/>
              <w:rPr>
                <w:rFonts w:cs="Calibri"/>
                <w:sz w:val="18"/>
                <w:szCs w:val="18"/>
                <w:lang w:eastAsia="x-none"/>
              </w:rPr>
            </w:pPr>
          </w:p>
        </w:tc>
      </w:tr>
      <w:tr w:rsidR="00B87074" w:rsidRPr="008610F4" w14:paraId="096B5B40" w14:textId="77777777" w:rsidTr="00F81F09">
        <w:trPr>
          <w:trHeight w:val="170"/>
        </w:trPr>
        <w:tc>
          <w:tcPr>
            <w:tcW w:w="10173" w:type="dxa"/>
          </w:tcPr>
          <w:p w14:paraId="17F0BC0F" w14:textId="20DBAF85" w:rsidR="00B87074" w:rsidRDefault="00B87074" w:rsidP="00F81F09">
            <w:pPr>
              <w:keepNext/>
              <w:keepLines/>
              <w:ind w:hanging="317"/>
              <w:jc w:val="left"/>
              <w:outlineLvl w:val="1"/>
              <w:rPr>
                <w:rFonts w:cs="Calibri"/>
                <w:sz w:val="18"/>
                <w:szCs w:val="18"/>
                <w:lang w:eastAsia="x-none"/>
              </w:rPr>
            </w:pPr>
            <w:r w:rsidRPr="00B87074">
              <w:rPr>
                <w:rFonts w:cs="Calibri"/>
                <w:b/>
                <w:sz w:val="18"/>
                <w:szCs w:val="18"/>
                <w:lang w:eastAsia="x-none"/>
              </w:rPr>
              <w:t>Akceptacja:</w:t>
            </w:r>
            <w:r>
              <w:rPr>
                <w:rFonts w:cs="Calibri"/>
                <w:sz w:val="18"/>
                <w:szCs w:val="18"/>
                <w:lang w:eastAsia="x-none"/>
              </w:rPr>
              <w:t xml:space="preserve"> TAK/NIE</w:t>
            </w:r>
          </w:p>
        </w:tc>
      </w:tr>
    </w:tbl>
    <w:p w14:paraId="26C9203B" w14:textId="77777777" w:rsidR="006C4A08" w:rsidRDefault="006C4A08" w:rsidP="006C4A08">
      <w:pPr>
        <w:pStyle w:val="Nagwek2"/>
        <w:jc w:val="both"/>
        <w:rPr>
          <w:rFonts w:ascii="Calibri" w:hAnsi="Calibri" w:cs="Arial"/>
          <w:b w:val="0"/>
          <w:bCs/>
          <w:i/>
          <w:sz w:val="18"/>
          <w:szCs w:val="18"/>
        </w:rPr>
      </w:pPr>
    </w:p>
    <w:p w14:paraId="0CE63926" w14:textId="64B36DA1" w:rsidR="0089008A" w:rsidRDefault="0089008A"/>
    <w:p w14:paraId="5281A5E9" w14:textId="3572534C" w:rsidR="00615C42" w:rsidRDefault="00615C42"/>
    <w:p w14:paraId="7DF258FB" w14:textId="2362AAD2" w:rsidR="00615C42" w:rsidRDefault="00615C42"/>
    <w:p w14:paraId="1B3FF5B6" w14:textId="740817CB" w:rsidR="00615C42" w:rsidRDefault="00615C42"/>
    <w:p w14:paraId="7585CDB0" w14:textId="5AF436D6" w:rsidR="00615C42" w:rsidRDefault="00615C42"/>
    <w:p w14:paraId="65E88A54" w14:textId="239B256F" w:rsidR="00615C42" w:rsidRDefault="00615C42"/>
    <w:p w14:paraId="11F7E84C" w14:textId="05BED606" w:rsidR="00615C42" w:rsidRDefault="00615C42"/>
    <w:p w14:paraId="05255B7B" w14:textId="6C6A7DE5" w:rsidR="00615C42" w:rsidRDefault="00615C42"/>
    <w:p w14:paraId="4C6CBBD1" w14:textId="05A484E7" w:rsidR="00615C42" w:rsidRDefault="00615C42"/>
    <w:p w14:paraId="138B40C0" w14:textId="42A401AF" w:rsidR="00615C42" w:rsidRDefault="00615C42"/>
    <w:p w14:paraId="28E17835" w14:textId="25EBCDF7" w:rsidR="00615C42" w:rsidRDefault="00615C42"/>
    <w:p w14:paraId="62493A18" w14:textId="24D6C550" w:rsidR="00615C42" w:rsidRDefault="00615C42"/>
    <w:p w14:paraId="5E5C4462" w14:textId="1DEF24F1" w:rsidR="00615C42" w:rsidRDefault="00615C42"/>
    <w:p w14:paraId="7A68E0FA" w14:textId="5687EF29" w:rsidR="00615C42" w:rsidRDefault="00615C42"/>
    <w:p w14:paraId="37EEED28" w14:textId="3A9A734A" w:rsidR="00615C42" w:rsidRDefault="00615C42"/>
    <w:p w14:paraId="5245B8D8" w14:textId="39D5BD03" w:rsidR="00615C42" w:rsidRDefault="00615C42"/>
    <w:p w14:paraId="57C0ED33" w14:textId="0404094C" w:rsidR="00615C42" w:rsidRDefault="00615C42"/>
    <w:p w14:paraId="29E55FAF" w14:textId="7D0A52A4" w:rsidR="00615C42" w:rsidRDefault="00615C42"/>
    <w:p w14:paraId="101150E5" w14:textId="3C8F635C" w:rsidR="00615C42" w:rsidRDefault="00615C42"/>
    <w:p w14:paraId="63E3995C" w14:textId="15F24394" w:rsidR="00615C42" w:rsidRDefault="00615C42"/>
    <w:p w14:paraId="0A174D73" w14:textId="3EFD88CE" w:rsidR="00615C42" w:rsidRDefault="00615C42"/>
    <w:p w14:paraId="1F7609E6" w14:textId="075F30A1" w:rsidR="00615C42" w:rsidRDefault="00615C42"/>
    <w:p w14:paraId="350128B5" w14:textId="77D682D5" w:rsidR="00615C42" w:rsidRDefault="00615C42" w:rsidP="00615C42">
      <w:pPr>
        <w:autoSpaceDE w:val="0"/>
        <w:autoSpaceDN w:val="0"/>
        <w:adjustRightInd w:val="0"/>
        <w:ind w:left="0" w:firstLine="0"/>
        <w:jc w:val="left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615C42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7B660BF4" w14:textId="77777777" w:rsidR="00615C42" w:rsidRPr="00615C42" w:rsidRDefault="00615C42" w:rsidP="00615C42">
      <w:pPr>
        <w:autoSpaceDE w:val="0"/>
        <w:autoSpaceDN w:val="0"/>
        <w:adjustRightInd w:val="0"/>
        <w:ind w:left="0" w:firstLine="0"/>
        <w:jc w:val="left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</w:p>
    <w:p w14:paraId="0883789B" w14:textId="1BC4B21F" w:rsidR="00615C42" w:rsidRDefault="00615C42" w:rsidP="00615C42">
      <w:pPr>
        <w:ind w:left="0" w:firstLine="0"/>
        <w:jc w:val="both"/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</w:pPr>
      <w:r w:rsidRPr="00615C42"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  <w:t>Formularz</w:t>
      </w:r>
      <w:r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  <w:t xml:space="preserve"> należy wypełnić </w:t>
      </w:r>
      <w:r w:rsidR="00BD11D4"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  <w:t xml:space="preserve">zaznaczając właściwie TAK lub NIE i </w:t>
      </w:r>
      <w:r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  <w:t xml:space="preserve"> podpisać </w:t>
      </w:r>
      <w:r w:rsidRPr="00615C42"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  <w:t xml:space="preserve"> przez osobę lub osoby uprawnione do reprezentowania Wykonawcy kwalifikowanym podpisem elektronicznym.</w:t>
      </w:r>
    </w:p>
    <w:p w14:paraId="5BDA49B1" w14:textId="77777777" w:rsidR="00615C42" w:rsidRPr="00615C42" w:rsidRDefault="00615C42" w:rsidP="00615C42">
      <w:pPr>
        <w:ind w:left="0" w:firstLine="0"/>
        <w:jc w:val="both"/>
        <w:rPr>
          <w:rFonts w:asciiTheme="minorHAnsi" w:eastAsiaTheme="minorHAnsi" w:hAnsiTheme="minorHAnsi" w:cstheme="minorHAnsi"/>
          <w:iCs/>
          <w:color w:val="5B9BD5" w:themeColor="accent1"/>
          <w:sz w:val="20"/>
          <w:szCs w:val="20"/>
        </w:rPr>
      </w:pPr>
    </w:p>
    <w:p w14:paraId="36B68569" w14:textId="77777777" w:rsidR="00615C42" w:rsidRPr="00615C42" w:rsidRDefault="00615C42" w:rsidP="00615C42">
      <w:pPr>
        <w:spacing w:after="160" w:line="0" w:lineRule="atLeast"/>
        <w:ind w:left="3" w:firstLine="0"/>
        <w:jc w:val="left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615C42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p w14:paraId="69D936ED" w14:textId="77777777" w:rsidR="00615C42" w:rsidRDefault="00615C42"/>
    <w:sectPr w:rsidR="00615C42" w:rsidSect="00F81F09">
      <w:footerReference w:type="default" r:id="rId7"/>
      <w:footerReference w:type="first" r:id="rId8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4950" w14:textId="77777777" w:rsidR="00F03950" w:rsidRDefault="00F03950" w:rsidP="00F03950">
      <w:r>
        <w:separator/>
      </w:r>
    </w:p>
  </w:endnote>
  <w:endnote w:type="continuationSeparator" w:id="0">
    <w:p w14:paraId="69338462" w14:textId="77777777" w:rsidR="00F03950" w:rsidRDefault="00F03950" w:rsidP="00F0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944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47ABBC" w14:textId="4C44242E" w:rsidR="00F03950" w:rsidRDefault="00F039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2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2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D89" w14:textId="77777777" w:rsidR="00F03950" w:rsidRDefault="00F0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09607"/>
      <w:docPartObj>
        <w:docPartGallery w:val="Page Numbers (Bottom of Page)"/>
        <w:docPartUnique/>
      </w:docPartObj>
    </w:sdtPr>
    <w:sdtContent>
      <w:p w14:paraId="4B67B08B" w14:textId="5EF0805E" w:rsidR="00F03950" w:rsidRDefault="00F03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A8">
          <w:rPr>
            <w:noProof/>
          </w:rPr>
          <w:t>1</w:t>
        </w:r>
        <w:r>
          <w:fldChar w:fldCharType="end"/>
        </w:r>
      </w:p>
    </w:sdtContent>
  </w:sdt>
  <w:p w14:paraId="20C547FE" w14:textId="77777777" w:rsidR="00F03950" w:rsidRDefault="00F03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6808" w14:textId="77777777" w:rsidR="00F03950" w:rsidRDefault="00F03950" w:rsidP="00F03950">
      <w:r>
        <w:separator/>
      </w:r>
    </w:p>
  </w:footnote>
  <w:footnote w:type="continuationSeparator" w:id="0">
    <w:p w14:paraId="01368CC6" w14:textId="77777777" w:rsidR="00F03950" w:rsidRDefault="00F03950" w:rsidP="00F0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D3E"/>
    <w:multiLevelType w:val="hybridMultilevel"/>
    <w:tmpl w:val="96AC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61F78"/>
    <w:multiLevelType w:val="multilevel"/>
    <w:tmpl w:val="6E1ED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156076"/>
    <w:multiLevelType w:val="hybridMultilevel"/>
    <w:tmpl w:val="0B46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8"/>
    <w:rsid w:val="00291227"/>
    <w:rsid w:val="002C643F"/>
    <w:rsid w:val="003F321D"/>
    <w:rsid w:val="00536C07"/>
    <w:rsid w:val="00615C42"/>
    <w:rsid w:val="006C4A08"/>
    <w:rsid w:val="0089008A"/>
    <w:rsid w:val="00B87074"/>
    <w:rsid w:val="00BD11D4"/>
    <w:rsid w:val="00D852A8"/>
    <w:rsid w:val="00DB3B41"/>
    <w:rsid w:val="00ED3C59"/>
    <w:rsid w:val="00F03950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DCD3"/>
  <w15:chartTrackingRefBased/>
  <w15:docId w15:val="{54CA1B37-E4A1-4DC8-A4DD-148A7E5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A08"/>
    <w:pPr>
      <w:spacing w:after="0" w:line="240" w:lineRule="auto"/>
      <w:ind w:left="317" w:hanging="340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C4A08"/>
    <w:pPr>
      <w:keepNext/>
      <w:ind w:left="0" w:firstLine="0"/>
      <w:outlineLvl w:val="1"/>
    </w:pPr>
    <w:rPr>
      <w:rFonts w:ascii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4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Kolorowa lista — akcent 12,RR PGE Akapit z listą,Styl 1,Bullet Number,List Paragraph1,lp1,List Paragraph2,lp11"/>
    <w:basedOn w:val="Normalny"/>
    <w:link w:val="AkapitzlistZnak"/>
    <w:uiPriority w:val="34"/>
    <w:qFormat/>
    <w:rsid w:val="006C4A08"/>
    <w:pPr>
      <w:suppressAutoHyphens/>
      <w:ind w:left="720" w:firstLine="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Kolorowa lista — akcent 12 Znak,RR PGE Akapit z listą Znak,lp1 Znak"/>
    <w:link w:val="Akapitzlist"/>
    <w:uiPriority w:val="34"/>
    <w:qFormat/>
    <w:locked/>
    <w:rsid w:val="006C4A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F0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F0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0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9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9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Karolina Mąkal</cp:lastModifiedBy>
  <cp:revision>6</cp:revision>
  <dcterms:created xsi:type="dcterms:W3CDTF">2023-07-31T13:10:00Z</dcterms:created>
  <dcterms:modified xsi:type="dcterms:W3CDTF">2023-08-01T10:18:00Z</dcterms:modified>
</cp:coreProperties>
</file>