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D5" w:rsidRPr="001D4920" w:rsidRDefault="008018D5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Nr sprawy KP-272-PNK-</w:t>
      </w:r>
      <w:r w:rsidR="009C1F3A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89</w:t>
      </w:r>
      <w:r w:rsidR="00A04FFB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/2021</w:t>
      </w:r>
      <w:r w:rsidR="00A04FFB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sz w:val="28"/>
          <w:szCs w:val="28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8"/>
          <w:szCs w:val="28"/>
          <w:lang w:eastAsia="zh-CN"/>
        </w:rPr>
        <w:t>SPECYFIKACJA  WARUNKÓW ZAMÓWIENIA</w:t>
      </w:r>
    </w:p>
    <w:p w:rsidR="008018D5" w:rsidRPr="001D4920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6915C5" w:rsidP="008018D5">
      <w:pPr>
        <w:widowControl/>
        <w:suppressAutoHyphens/>
        <w:autoSpaceDE/>
        <w:autoSpaceDN/>
        <w:spacing w:line="360" w:lineRule="auto"/>
        <w:jc w:val="center"/>
        <w:rPr>
          <w:rFonts w:asciiTheme="majorHAnsi" w:eastAsia="Times New Roman" w:hAnsiTheme="majorHAnsi" w:cs="Cambria"/>
          <w:lang w:eastAsia="zh-CN"/>
        </w:rPr>
      </w:pPr>
      <w:r>
        <w:rPr>
          <w:rFonts w:asciiTheme="majorHAnsi" w:eastAsia="Times New Roman" w:hAnsiTheme="majorHAnsi" w:cs="Cambria"/>
          <w:lang w:eastAsia="zh-CN"/>
        </w:rPr>
        <w:t>Dotyczy</w:t>
      </w:r>
      <w:r w:rsidR="00ED1ABB" w:rsidRPr="001D4920">
        <w:rPr>
          <w:rFonts w:asciiTheme="majorHAnsi" w:eastAsia="Times New Roman" w:hAnsiTheme="majorHAnsi" w:cs="Cambria"/>
          <w:lang w:eastAsia="zh-CN"/>
        </w:rPr>
        <w:t xml:space="preserve"> postępowani</w:t>
      </w:r>
      <w:r>
        <w:rPr>
          <w:rFonts w:asciiTheme="majorHAnsi" w:eastAsia="Times New Roman" w:hAnsiTheme="majorHAnsi" w:cs="Cambria"/>
          <w:lang w:eastAsia="zh-CN"/>
        </w:rPr>
        <w:t>a</w:t>
      </w:r>
      <w:r w:rsidR="00ED1ABB" w:rsidRPr="001D4920">
        <w:rPr>
          <w:rFonts w:asciiTheme="majorHAnsi" w:eastAsia="Times New Roman" w:hAnsiTheme="majorHAnsi" w:cs="Cambria"/>
          <w:lang w:eastAsia="zh-CN"/>
        </w:rPr>
        <w:t xml:space="preserve"> o udzielenie zamówienia publicznego prowadzonego </w:t>
      </w:r>
      <w:r w:rsidR="00ED1ABB" w:rsidRPr="001D4920">
        <w:rPr>
          <w:rFonts w:asciiTheme="majorHAnsi" w:eastAsia="Times New Roman" w:hAnsiTheme="majorHAnsi" w:cs="Cambria"/>
          <w:lang w:eastAsia="zh-CN"/>
        </w:rPr>
        <w:br/>
        <w:t xml:space="preserve">w trybie </w:t>
      </w:r>
      <w:r w:rsidR="00ED1ABB" w:rsidRPr="009C1F3A">
        <w:rPr>
          <w:rFonts w:asciiTheme="majorHAnsi" w:eastAsia="Times New Roman" w:hAnsiTheme="majorHAnsi" w:cs="Cambria"/>
          <w:lang w:eastAsia="zh-CN"/>
        </w:rPr>
        <w:t xml:space="preserve">podstawowym bez negocjacji z uwzględnieniem przepisów stosowanych przy udzielaniu zamówień na usługi społeczne i inne szczególne usługi zgodnie z art. </w:t>
      </w:r>
      <w:r w:rsidR="00601596" w:rsidRPr="009C1F3A">
        <w:rPr>
          <w:rFonts w:asciiTheme="majorHAnsi" w:eastAsia="Times New Roman" w:hAnsiTheme="majorHAnsi" w:cs="Cambria"/>
          <w:lang w:eastAsia="zh-CN"/>
        </w:rPr>
        <w:t>275 pkt. 1</w:t>
      </w:r>
      <w:r w:rsidR="00ED1ABB" w:rsidRPr="009C1F3A">
        <w:rPr>
          <w:rFonts w:asciiTheme="majorHAnsi" w:eastAsia="Times New Roman" w:hAnsiTheme="majorHAnsi" w:cs="Cambria"/>
          <w:lang w:eastAsia="zh-CN"/>
        </w:rPr>
        <w:t xml:space="preserve"> w związku </w:t>
      </w:r>
      <w:r w:rsidR="00ED1ABB" w:rsidRPr="009C1F3A">
        <w:rPr>
          <w:rFonts w:asciiTheme="majorHAnsi" w:eastAsia="Times New Roman" w:hAnsiTheme="majorHAnsi" w:cs="Cambria"/>
          <w:lang w:eastAsia="zh-CN"/>
        </w:rPr>
        <w:br/>
        <w:t>z art. 359 pkt 2 (Dz. U. z 20</w:t>
      </w:r>
      <w:r w:rsidR="00172B50" w:rsidRPr="009C1F3A">
        <w:rPr>
          <w:rFonts w:asciiTheme="majorHAnsi" w:eastAsia="Times New Roman" w:hAnsiTheme="majorHAnsi" w:cs="Cambria"/>
          <w:lang w:eastAsia="zh-CN"/>
        </w:rPr>
        <w:t>21</w:t>
      </w:r>
      <w:r w:rsidR="00ED1ABB" w:rsidRPr="009C1F3A">
        <w:rPr>
          <w:rFonts w:asciiTheme="majorHAnsi" w:eastAsia="Times New Roman" w:hAnsiTheme="majorHAnsi" w:cs="Cambria"/>
          <w:lang w:eastAsia="zh-CN"/>
        </w:rPr>
        <w:t xml:space="preserve"> r. poz. </w:t>
      </w:r>
      <w:r w:rsidR="00172B50" w:rsidRPr="009C1F3A">
        <w:rPr>
          <w:rFonts w:asciiTheme="majorHAnsi" w:eastAsia="Times New Roman" w:hAnsiTheme="majorHAnsi" w:cs="Cambria"/>
          <w:lang w:eastAsia="zh-CN"/>
        </w:rPr>
        <w:t>1129</w:t>
      </w:r>
      <w:r w:rsidR="00ED1ABB" w:rsidRPr="009C1F3A">
        <w:rPr>
          <w:rFonts w:asciiTheme="majorHAnsi" w:eastAsia="Times New Roman" w:hAnsiTheme="majorHAnsi" w:cs="Cambria"/>
          <w:lang w:eastAsia="zh-CN"/>
        </w:rPr>
        <w:t xml:space="preserve"> z </w:t>
      </w:r>
      <w:proofErr w:type="spellStart"/>
      <w:r w:rsidR="00ED1ABB" w:rsidRPr="009C1F3A">
        <w:rPr>
          <w:rFonts w:asciiTheme="majorHAnsi" w:eastAsia="Times New Roman" w:hAnsiTheme="majorHAnsi" w:cs="Cambria"/>
          <w:lang w:eastAsia="zh-CN"/>
        </w:rPr>
        <w:t>późn</w:t>
      </w:r>
      <w:proofErr w:type="spellEnd"/>
      <w:r w:rsidR="00ED1ABB" w:rsidRPr="009C1F3A">
        <w:rPr>
          <w:rFonts w:asciiTheme="majorHAnsi" w:eastAsia="Times New Roman" w:hAnsiTheme="majorHAnsi" w:cs="Cambria"/>
          <w:lang w:eastAsia="zh-CN"/>
        </w:rPr>
        <w:t>. zm.) - pn.:</w:t>
      </w:r>
      <w:r w:rsidR="008018D5" w:rsidRPr="009C1F3A">
        <w:rPr>
          <w:rFonts w:asciiTheme="majorHAnsi" w:eastAsia="Times New Roman" w:hAnsiTheme="majorHAnsi" w:cs="Cambria"/>
          <w:lang w:eastAsia="zh-CN"/>
        </w:rPr>
        <w:t xml:space="preserve"> </w:t>
      </w:r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 xml:space="preserve">Szkolenie z zakresu kompetencji zarządczych - H8D09S: Fast </w:t>
      </w:r>
      <w:proofErr w:type="spellStart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>Track</w:t>
      </w:r>
      <w:proofErr w:type="spellEnd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 xml:space="preserve"> for </w:t>
      </w:r>
      <w:proofErr w:type="spellStart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>Deploying</w:t>
      </w:r>
      <w:proofErr w:type="spellEnd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 xml:space="preserve"> HPE </w:t>
      </w:r>
      <w:proofErr w:type="spellStart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>FlexNetwork</w:t>
      </w:r>
      <w:proofErr w:type="spellEnd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proofErr w:type="spellStart"/>
      <w:r w:rsidR="009C1F3A" w:rsidRPr="009C1F3A">
        <w:rPr>
          <w:rFonts w:ascii="Cambria" w:eastAsia="Times New Roman" w:hAnsi="Cambria" w:cs="Times New Roman"/>
          <w:b/>
          <w:bCs/>
          <w:lang w:eastAsia="pl-PL"/>
        </w:rPr>
        <w:t>Comware</w:t>
      </w:r>
      <w:proofErr w:type="spellEnd"/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43778C" w:rsidRDefault="0043778C" w:rsidP="0043778C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  <w:bookmarkStart w:id="0" w:name="_Hlk87352120"/>
      <w:r>
        <w:rPr>
          <w:rFonts w:ascii="Cambria" w:hAnsi="Cambria"/>
          <w:b/>
          <w:i/>
          <w:sz w:val="20"/>
          <w:szCs w:val="20"/>
        </w:rPr>
        <w:t>Zastępca Kanclerza Politechniki Lubelskiej</w:t>
      </w:r>
    </w:p>
    <w:p w:rsidR="0043778C" w:rsidRDefault="0043778C" w:rsidP="0043778C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3778C" w:rsidRDefault="0043778C" w:rsidP="0043778C">
      <w:pPr>
        <w:widowControl/>
        <w:autoSpaceDE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  <w:b/>
          <w:bCs/>
          <w:i/>
          <w:sz w:val="20"/>
          <w:szCs w:val="20"/>
        </w:rPr>
        <w:tab/>
      </w:r>
      <w:r>
        <w:rPr>
          <w:rFonts w:ascii="Cambria" w:hAnsi="Cambria"/>
          <w:b/>
          <w:bCs/>
          <w:i/>
          <w:sz w:val="20"/>
          <w:szCs w:val="20"/>
        </w:rPr>
        <w:tab/>
        <w:t>dr inż. Marcin JAKIMIAK</w:t>
      </w:r>
      <w:bookmarkEnd w:id="0"/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i/>
          <w:color w:val="FF000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i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sz w:val="20"/>
          <w:szCs w:val="20"/>
          <w:lang w:eastAsia="pl-PL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Lublin, dnia </w:t>
      </w:r>
      <w:r w:rsidR="009C1F3A">
        <w:rPr>
          <w:rFonts w:asciiTheme="majorHAnsi" w:eastAsia="Times New Roman" w:hAnsiTheme="majorHAnsi" w:cs="Cambria"/>
          <w:sz w:val="20"/>
          <w:szCs w:val="20"/>
          <w:lang w:eastAsia="pl-PL"/>
        </w:rPr>
        <w:t>0</w:t>
      </w:r>
      <w:r w:rsidR="0043778C">
        <w:rPr>
          <w:rFonts w:asciiTheme="majorHAnsi" w:eastAsia="Times New Roman" w:hAnsiTheme="majorHAnsi" w:cs="Cambria"/>
          <w:sz w:val="20"/>
          <w:szCs w:val="20"/>
          <w:lang w:eastAsia="pl-PL"/>
        </w:rPr>
        <w:t>7</w:t>
      </w:r>
      <w:r w:rsidR="009C1F3A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grudnia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2021r.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9C1F3A" w:rsidRDefault="009C1F3A">
      <w:pPr>
        <w:rPr>
          <w:rFonts w:asciiTheme="majorHAnsi" w:eastAsia="Times New Roman" w:hAnsiTheme="majorHAnsi" w:cs="Cambria"/>
          <w:b/>
          <w:bCs/>
          <w:lang w:eastAsia="zh-CN"/>
        </w:rPr>
      </w:pPr>
      <w:r>
        <w:rPr>
          <w:rFonts w:asciiTheme="majorHAnsi" w:eastAsia="Times New Roman" w:hAnsiTheme="majorHAnsi" w:cs="Cambria"/>
          <w:b/>
          <w:bCs/>
          <w:lang w:eastAsia="zh-CN"/>
        </w:rPr>
        <w:br w:type="page"/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1D4920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Nazwa: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Politechnika Lubelska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Nr telefonu: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+48 81 538 46 </w:t>
      </w:r>
      <w:r w:rsidR="008018D5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96</w:t>
      </w:r>
    </w:p>
    <w:p w:rsidR="00A04FFB" w:rsidRPr="00214338" w:rsidRDefault="00A04FFB" w:rsidP="0021433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NIP: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7120104651</w:t>
      </w:r>
      <w:r w:rsidR="00214338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, </w:t>
      </w:r>
      <w:r w:rsidRPr="00214338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REGON: </w:t>
      </w:r>
      <w:r w:rsidRPr="00214338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000001726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Adres strony internetowej prowadzonego postępowania: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1D4920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Calibri"/>
          <w:b/>
          <w:sz w:val="20"/>
          <w:szCs w:val="20"/>
          <w:lang w:eastAsia="ar-SA"/>
        </w:rPr>
      </w:pPr>
      <w:r w:rsidRPr="001D4920">
        <w:rPr>
          <w:rFonts w:asciiTheme="majorHAnsi" w:eastAsia="Times New Roman" w:hAnsiTheme="majorHAnsi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1D4920">
          <w:rPr>
            <w:rFonts w:asciiTheme="majorHAnsi" w:eastAsia="Times New Roman" w:hAnsiTheme="majorHAnsi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libri"/>
          <w:b/>
          <w:sz w:val="20"/>
          <w:szCs w:val="20"/>
          <w:lang w:eastAsia="zh-CN"/>
        </w:rPr>
        <w:t xml:space="preserve"> </w:t>
      </w:r>
    </w:p>
    <w:p w:rsidR="00A04FFB" w:rsidRPr="001D4920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u w:val="single"/>
          <w:lang w:eastAsia="pl-PL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2. TRYB UDZIELENIA ZAMÓWIENIA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pl-PL"/>
        </w:rPr>
        <w:t>trybie podstawowym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 uwzględnieniem przepisów stosowanych przy udzielaniu zamówień na usługi społeczne i inne szczególne usługi zgodnie z art. </w:t>
      </w:r>
      <w:r w:rsidR="00601596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275 pkt.1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w związku z art. 359 pkt 2</w:t>
      </w:r>
      <w:r w:rsidR="00601596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ustawy z dnia 11 września 2019r. – Prawo zamówień publicznych (zwanej dalej: ustawą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Szacunkowa wartość przedmiotowego postepowania nie przekracza kwot określonych w </w:t>
      </w:r>
      <w:r w:rsidR="00214338">
        <w:rPr>
          <w:rFonts w:asciiTheme="majorHAnsi" w:eastAsia="Times New Roman" w:hAnsiTheme="majorHAnsi" w:cs="Cambria"/>
          <w:sz w:val="20"/>
          <w:szCs w:val="20"/>
          <w:lang w:eastAsia="pl-PL"/>
        </w:rPr>
        <w:t>O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bwieszczeniu Prezesa Urzędu Zamówień publicznych wydanym na podstawie art. 3 ust. 2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3. OPIS PRZEDMIOTU ZAMÓWIENIA</w:t>
      </w:r>
    </w:p>
    <w:p w:rsidR="00FD7CB9" w:rsidRPr="004A6EEC" w:rsidRDefault="00A04FFB" w:rsidP="004A6EEC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C7756"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przeprowadzenie </w:t>
      </w:r>
      <w:r w:rsidR="0022463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</w:t>
      </w:r>
      <w:r w:rsidR="008D254C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zkole</w:t>
      </w:r>
      <w:r w:rsid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nia </w:t>
      </w:r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z zakresu kompetencji zarządczych - H8D09S: Fast </w:t>
      </w:r>
      <w:proofErr w:type="spellStart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Track</w:t>
      </w:r>
      <w:proofErr w:type="spellEnd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for </w:t>
      </w:r>
      <w:proofErr w:type="spellStart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Deploying</w:t>
      </w:r>
      <w:proofErr w:type="spellEnd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HPE </w:t>
      </w:r>
      <w:proofErr w:type="spellStart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FlexNetwork</w:t>
      </w:r>
      <w:proofErr w:type="spellEnd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281222" w:rsidRPr="004A6EE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Comware</w:t>
      </w:r>
      <w:proofErr w:type="spellEnd"/>
    </w:p>
    <w:p w:rsidR="00281222" w:rsidRPr="001D4920" w:rsidRDefault="00281222" w:rsidP="004A6EEC">
      <w:pPr>
        <w:pStyle w:val="Akapitzlist"/>
        <w:widowControl/>
        <w:numPr>
          <w:ilvl w:val="0"/>
          <w:numId w:val="39"/>
        </w:numPr>
        <w:autoSpaceDE/>
        <w:autoSpaceDN/>
        <w:spacing w:before="12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 xml:space="preserve">Nazwa zadania: szkolenie z zakresu kompetencji zarządczych - H8D09S: Fast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Track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 for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Deploying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 HPE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FlexNetwork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Comware</w:t>
      </w:r>
      <w:proofErr w:type="spellEnd"/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>Liczba uczestników: 2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>5 -dniowe szkolenie</w:t>
      </w:r>
    </w:p>
    <w:p w:rsidR="004A6EEC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 xml:space="preserve">Interesujący kurs da administratorom sieci okazję do planowania i wdrażania sieci korzystających z urządzeń HPE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Comware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. Uczestnicy będą pracować z technologiami HP IRF, ACL,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QoS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>, OSPF, BGP i Multicast, które są niezbędnymi w codziennym funkcjonowaniu jednostki. Szkolenie podniesie kompetencje zarządcze pracowników Centrum Informatycznego PL poprzez wiedzę i umiejętności z zakresu administrowania systemami informatycznymi obsługującymi uczelnię.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4A6EEC">
        <w:rPr>
          <w:rFonts w:asciiTheme="majorHAnsi" w:eastAsia="Arial" w:hAnsiTheme="majorHAnsi" w:cs="Arial"/>
          <w:sz w:val="20"/>
          <w:szCs w:val="20"/>
          <w:u w:val="single"/>
        </w:rPr>
        <w:t>Szkolenie prowadzone w języku angielskim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>Uczestnik szkolenia otrzymuje dyplom/certyfikat ukończenia szkolenia.</w:t>
      </w:r>
    </w:p>
    <w:p w:rsidR="00281222" w:rsidRPr="00085F9C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085F9C">
        <w:rPr>
          <w:rFonts w:asciiTheme="majorHAnsi" w:hAnsiTheme="majorHAnsi" w:cstheme="minorHAnsi"/>
          <w:sz w:val="20"/>
          <w:szCs w:val="20"/>
          <w:u w:val="single"/>
        </w:rPr>
        <w:t>Szkolenie prowadzone w trybie online za pomocą określonej platformy (zapewnia ją Wykonawca).</w:t>
      </w:r>
    </w:p>
    <w:p w:rsidR="001D4920" w:rsidRPr="00085F9C" w:rsidRDefault="00281222" w:rsidP="00214338">
      <w:pPr>
        <w:pStyle w:val="Akapitzlist"/>
        <w:widowControl/>
        <w:numPr>
          <w:ilvl w:val="0"/>
          <w:numId w:val="39"/>
        </w:numPr>
        <w:autoSpaceDE/>
        <w:autoSpaceDN/>
        <w:spacing w:before="0" w:after="12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085F9C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Dostarczenie przed rozpoczęciem zajęć </w:t>
      </w:r>
      <w:r w:rsidR="00CA46D2" w:rsidRPr="00085F9C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Matrycy</w:t>
      </w:r>
      <w:r w:rsidR="004A6EEC" w:rsidRPr="00085F9C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085F9C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efektów kształcenia (załącznik nr 5).</w:t>
      </w:r>
    </w:p>
    <w:p w:rsidR="001F028A" w:rsidRPr="001D4920" w:rsidRDefault="00B13CC5" w:rsidP="001C7756">
      <w:pPr>
        <w:spacing w:line="264" w:lineRule="auto"/>
        <w:ind w:left="357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D4920">
        <w:rPr>
          <w:rFonts w:asciiTheme="majorHAnsi" w:hAnsiTheme="majorHAnsi" w:cstheme="minorHAnsi"/>
          <w:b/>
          <w:sz w:val="20"/>
          <w:szCs w:val="20"/>
        </w:rPr>
        <w:t xml:space="preserve">Minimalne wymagania dotyczące </w:t>
      </w:r>
      <w:r w:rsidR="00500D94" w:rsidRPr="001D4920">
        <w:rPr>
          <w:rFonts w:asciiTheme="majorHAnsi" w:hAnsiTheme="majorHAnsi" w:cstheme="minorHAnsi"/>
          <w:b/>
          <w:sz w:val="20"/>
          <w:szCs w:val="20"/>
        </w:rPr>
        <w:t>trenerów</w:t>
      </w:r>
      <w:r w:rsidRPr="001D4920">
        <w:rPr>
          <w:rFonts w:asciiTheme="majorHAnsi" w:hAnsiTheme="majorHAnsi" w:cstheme="minorHAnsi"/>
          <w:b/>
          <w:sz w:val="20"/>
          <w:szCs w:val="20"/>
        </w:rPr>
        <w:t>/osób wskazanych do realizacji zamówienia:</w:t>
      </w:r>
    </w:p>
    <w:p w:rsidR="00377D6D" w:rsidRPr="00377D6D" w:rsidRDefault="00377D6D" w:rsidP="00377D6D">
      <w:pPr>
        <w:spacing w:before="120" w:line="264" w:lineRule="auto"/>
        <w:ind w:left="357"/>
        <w:jc w:val="both"/>
        <w:rPr>
          <w:rFonts w:ascii="Cambria" w:hAnsi="Cambria" w:cs="Times New Roman"/>
          <w:sz w:val="20"/>
          <w:szCs w:val="20"/>
        </w:rPr>
      </w:pPr>
      <w:r w:rsidRPr="00377D6D">
        <w:rPr>
          <w:rFonts w:ascii="Cambria" w:hAnsi="Cambria" w:cs="Times New Roman"/>
          <w:b/>
          <w:sz w:val="20"/>
          <w:szCs w:val="20"/>
        </w:rPr>
        <w:t>Wykształcenie:</w:t>
      </w:r>
      <w:r w:rsidRPr="00377D6D">
        <w:rPr>
          <w:rFonts w:ascii="Cambria" w:hAnsi="Cambria" w:cs="Times New Roman"/>
          <w:sz w:val="20"/>
          <w:szCs w:val="20"/>
        </w:rPr>
        <w:t xml:space="preserve"> wyższe lub posiadanie dokumentów potwierdzających kwalifikacje,  tj. certyfikaty/ zaświadczenia/inne dokumenty rozumiane jako np. referencje, zgodnie z przedmiotem zamówienia.</w:t>
      </w:r>
    </w:p>
    <w:p w:rsidR="00377D6D" w:rsidRPr="00377D6D" w:rsidRDefault="00377D6D" w:rsidP="00377D6D">
      <w:pPr>
        <w:spacing w:before="120" w:line="264" w:lineRule="auto"/>
        <w:ind w:left="357"/>
        <w:jc w:val="both"/>
        <w:rPr>
          <w:rFonts w:ascii="Cambria" w:hAnsi="Cambria" w:cs="Times New Roman"/>
          <w:sz w:val="20"/>
          <w:szCs w:val="20"/>
        </w:rPr>
      </w:pPr>
      <w:r w:rsidRPr="00377D6D">
        <w:rPr>
          <w:rFonts w:ascii="Cambria" w:hAnsi="Cambria" w:cs="Times New Roman"/>
          <w:b/>
          <w:sz w:val="20"/>
          <w:szCs w:val="20"/>
        </w:rPr>
        <w:lastRenderedPageBreak/>
        <w:t xml:space="preserve">Doświadczenie zawodowe trenera: </w:t>
      </w:r>
      <w:r w:rsidRPr="00377D6D">
        <w:rPr>
          <w:rFonts w:ascii="Cambria" w:hAnsi="Cambria" w:cs="Times New Roman"/>
          <w:sz w:val="20"/>
          <w:szCs w:val="20"/>
        </w:rPr>
        <w:t>co najmniej</w:t>
      </w:r>
      <w:r w:rsidRPr="00377D6D">
        <w:rPr>
          <w:rFonts w:ascii="Cambria" w:hAnsi="Cambria" w:cs="Times New Roman"/>
          <w:b/>
          <w:sz w:val="20"/>
          <w:szCs w:val="20"/>
        </w:rPr>
        <w:t xml:space="preserve"> </w:t>
      </w:r>
      <w:r w:rsidRPr="00377D6D">
        <w:rPr>
          <w:rFonts w:ascii="Cambria" w:hAnsi="Cambria" w:cs="Times New Roman"/>
          <w:sz w:val="20"/>
          <w:szCs w:val="20"/>
        </w:rPr>
        <w:t xml:space="preserve">2 lata doświadczenia w przeprowadzeniu szkoleń z zakresu objętego zamówieniem (z zakresu kompetencji zarządczych) oraz przeszkoleniem minimum 100 osób w tym zakresie </w:t>
      </w:r>
    </w:p>
    <w:p w:rsidR="00FD7CB9" w:rsidRPr="001D4920" w:rsidRDefault="00FD7CB9" w:rsidP="001C7756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Carlito" w:hAnsiTheme="majorHAnsi" w:cstheme="minorHAnsi"/>
          <w:sz w:val="20"/>
          <w:szCs w:val="20"/>
        </w:rPr>
      </w:pPr>
    </w:p>
    <w:p w:rsidR="006F5A57" w:rsidRPr="001D4920" w:rsidRDefault="006F5A57" w:rsidP="001D4920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Zamawiający informuje, że szkolenia będące przedmiotem zamówienia będą sfinansowane w co najmniej 70% ze środków publicznych, w</w:t>
      </w:r>
      <w:r w:rsidR="001D4920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związku z powyższym zwolnione </w:t>
      </w: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są z podatku VAT.</w:t>
      </w:r>
    </w:p>
    <w:p w:rsidR="001D4920" w:rsidRPr="001D4920" w:rsidRDefault="001D4920" w:rsidP="001D4920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224632" w:rsidRPr="001D4920" w:rsidRDefault="00224632" w:rsidP="00805FC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Określenie przedmiotu zamówienia za pomocą kodów CPV:</w:t>
      </w:r>
      <w:r w:rsidR="008018D5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80500000-9 - Usługi szkoleniowe</w:t>
      </w:r>
    </w:p>
    <w:p w:rsidR="00224632" w:rsidRPr="001D4920" w:rsidRDefault="00224632" w:rsidP="00224632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4. TERMIN WYKONANIA ZAMÓWIENIA</w:t>
      </w:r>
    </w:p>
    <w:p w:rsidR="008D254C" w:rsidRPr="00085F9C" w:rsidRDefault="00A04FFB" w:rsidP="001D4920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Termin wykonania przedmiotu zamówienia: </w:t>
      </w:r>
      <w:r w:rsidR="001D4920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</w:t>
      </w:r>
      <w:r w:rsidR="001F676A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do </w:t>
      </w:r>
      <w:r w:rsidR="00B95521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3</w:t>
      </w:r>
      <w:r w:rsidR="004A6EEC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0</w:t>
      </w:r>
      <w:r w:rsidR="009C1C01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dni </w:t>
      </w:r>
      <w:r w:rsidR="001F676A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od daty zawarcia umowy</w:t>
      </w:r>
      <w:r w:rsidR="001D4920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(nie później jednak niż do </w:t>
      </w:r>
      <w:r w:rsidR="00085F9C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20</w:t>
      </w:r>
      <w:r w:rsidR="001D4920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.</w:t>
      </w:r>
      <w:r w:rsidR="00B95521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02.2022</w:t>
      </w:r>
      <w:r w:rsidR="001D4920" w:rsidRPr="00085F9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r.)</w:t>
      </w:r>
    </w:p>
    <w:p w:rsidR="00805FC3" w:rsidRPr="001D4920" w:rsidRDefault="001C7756" w:rsidP="00805FC3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Cs/>
          <w:sz w:val="20"/>
          <w:szCs w:val="20"/>
          <w:lang w:eastAsia="ar-SA"/>
        </w:rPr>
      </w:pPr>
      <w:r w:rsidRPr="00085F9C">
        <w:rPr>
          <w:rFonts w:asciiTheme="majorHAnsi" w:eastAsia="Times New Roman" w:hAnsiTheme="majorHAnsi" w:cs="Cambria"/>
          <w:bCs/>
          <w:sz w:val="20"/>
          <w:szCs w:val="20"/>
          <w:u w:val="single"/>
          <w:lang w:eastAsia="ar-SA"/>
        </w:rPr>
        <w:t>Wykonawca winien przedstawić Zamawiającemu do akceptacji</w:t>
      </w:r>
      <w:r w:rsidRPr="00085F9C">
        <w:rPr>
          <w:rFonts w:asciiTheme="majorHAnsi" w:eastAsia="Times New Roman" w:hAnsiTheme="majorHAnsi" w:cs="Cambria"/>
          <w:bCs/>
          <w:sz w:val="20"/>
          <w:szCs w:val="20"/>
          <w:lang w:eastAsia="ar-SA"/>
        </w:rPr>
        <w:t xml:space="preserve"> proponowany termin wykonania zamówienia (na minimum </w:t>
      </w:r>
      <w:r w:rsidR="00085F9C" w:rsidRPr="00085F9C">
        <w:rPr>
          <w:rFonts w:asciiTheme="majorHAnsi" w:eastAsia="Times New Roman" w:hAnsiTheme="majorHAnsi" w:cs="Cambria"/>
          <w:bCs/>
          <w:sz w:val="20"/>
          <w:szCs w:val="20"/>
          <w:lang w:eastAsia="ar-SA"/>
        </w:rPr>
        <w:t>7</w:t>
      </w:r>
      <w:r w:rsidRPr="00085F9C">
        <w:rPr>
          <w:rFonts w:asciiTheme="majorHAnsi" w:eastAsia="Times New Roman" w:hAnsiTheme="majorHAnsi" w:cs="Cambria"/>
          <w:bCs/>
          <w:sz w:val="20"/>
          <w:szCs w:val="20"/>
          <w:lang w:eastAsia="ar-SA"/>
        </w:rPr>
        <w:t xml:space="preserve"> dni przed szkoleniem).</w:t>
      </w:r>
    </w:p>
    <w:p w:rsidR="001C7756" w:rsidRPr="001D4920" w:rsidRDefault="001C7756" w:rsidP="00805FC3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ar-SA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5. WARUNKI UDZIAŁU W POSTĘPOWANIU</w:t>
      </w:r>
    </w:p>
    <w:p w:rsidR="00A04FFB" w:rsidRPr="001D4920" w:rsidRDefault="00A04FFB" w:rsidP="0043778C">
      <w:pPr>
        <w:widowControl/>
        <w:shd w:val="clear" w:color="auto" w:fill="FFFFFF"/>
        <w:autoSpaceDE/>
        <w:autoSpaceDN/>
        <w:spacing w:line="276" w:lineRule="auto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  <w:t>Zamawiający nie określa warunk</w:t>
      </w:r>
      <w:r w:rsidR="0043778C"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  <w:t>ów</w:t>
      </w:r>
      <w:r w:rsidRPr="001D4920"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  <w:t xml:space="preserve"> udziału w postępowaniu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Theme="majorHAnsi" w:eastAsia="Times New Roman" w:hAnsiTheme="majorHAnsi" w:cs="Cambria"/>
          <w:b/>
          <w:bCs/>
          <w:lang w:eastAsia="zh-CN"/>
        </w:rPr>
      </w:pPr>
      <w:bookmarkStart w:id="1" w:name="_Toc62048731"/>
      <w:bookmarkStart w:id="2" w:name="_Toc32565671"/>
      <w:bookmarkStart w:id="3" w:name="_Toc31961386"/>
      <w:bookmarkStart w:id="4" w:name="_Toc19535818"/>
      <w:bookmarkStart w:id="5" w:name="_Toc457395653"/>
      <w:r w:rsidRPr="001D4920">
        <w:rPr>
          <w:rFonts w:asciiTheme="majorHAnsi" w:eastAsia="Times New Roman" w:hAnsiTheme="majorHAnsi" w:cs="Cambria"/>
          <w:b/>
          <w:lang w:eastAsia="zh-CN"/>
        </w:rPr>
        <w:t xml:space="preserve">ROZDZIAŁ 6.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PODSTAWY WYKLUCZENIA</w:t>
      </w:r>
      <w:bookmarkEnd w:id="1"/>
      <w:bookmarkEnd w:id="2"/>
      <w:bookmarkEnd w:id="3"/>
      <w:bookmarkEnd w:id="4"/>
      <w:bookmarkEnd w:id="5"/>
      <w:r w:rsidRPr="001D4920">
        <w:rPr>
          <w:rFonts w:asciiTheme="majorHAnsi" w:eastAsia="Times New Roman" w:hAnsiTheme="majorHAnsi" w:cs="Cambria"/>
          <w:b/>
          <w:bCs/>
          <w:lang w:eastAsia="zh-CN"/>
        </w:rPr>
        <w:t xml:space="preserve"> Z POSTĘPOWANIA</w:t>
      </w:r>
    </w:p>
    <w:p w:rsidR="00A04FFB" w:rsidRPr="001D4920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43778C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.</w:t>
      </w:r>
    </w:p>
    <w:p w:rsidR="00A04FFB" w:rsidRPr="0043778C" w:rsidRDefault="00A04FFB" w:rsidP="0043778C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art. 109 ust. 1 pkt 4 ustawy </w:t>
      </w:r>
      <w:proofErr w:type="spellStart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43778C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.</w:t>
      </w:r>
    </w:p>
    <w:p w:rsidR="0043778C" w:rsidRDefault="0043778C" w:rsidP="00224632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 których mowa w art. 110 ust. 2 ustawy </w:t>
      </w:r>
      <w:proofErr w:type="spellStart"/>
      <w:r w:rsidR="00214338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</w:t>
      </w: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zp</w:t>
      </w:r>
      <w:proofErr w:type="spellEnd"/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Default="00A04FFB" w:rsidP="00224632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43778C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43778C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43778C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:rsidR="0043778C" w:rsidRPr="0043778C" w:rsidRDefault="0043778C" w:rsidP="00224632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udzielenie zamówienia.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jc w:val="both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 xml:space="preserve">ROZDZIAŁ 7.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054CD1" w:rsidRPr="001D4920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 </w:t>
      </w:r>
    </w:p>
    <w:p w:rsidR="00054CD1" w:rsidRPr="001D4920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- </w:t>
      </w:r>
      <w:r w:rsidR="00E327EF"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a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ktualne na dzień składania ofert oświadczenie o niepodleganiu wykluczeniu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na podstawie art. 108 ust. 1 oraz 109 ust. 1 pkt 4 ustawy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D4920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,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według wzoru stanowiącego 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załącznik </w:t>
      </w:r>
      <w:r w:rsidR="00054CD1" w:rsidRPr="001D4920">
        <w:rPr>
          <w:rFonts w:asciiTheme="majorHAnsi" w:eastAsia="Calibri" w:hAnsiTheme="majorHAnsi" w:cs="Times New Roman"/>
          <w:b/>
          <w:sz w:val="20"/>
          <w:szCs w:val="20"/>
        </w:rPr>
        <w:t>nr</w:t>
      </w:r>
      <w:r w:rsidR="00A04600"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2</w:t>
      </w:r>
      <w:r w:rsidR="00054CD1"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do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SWZ;</w:t>
      </w:r>
    </w:p>
    <w:p w:rsidR="00054CD1" w:rsidRPr="001D4920" w:rsidRDefault="0000731E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>Informacje zawarte w oświadczeniu, o którym mowa w pkt 1 stanowią wstępne potwierdzenie, że</w:t>
      </w:r>
      <w:r w:rsidR="004A6EEC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sz w:val="20"/>
          <w:szCs w:val="20"/>
        </w:rPr>
        <w:t>Wykonawca nie podlega wykluczeniu.</w:t>
      </w:r>
    </w:p>
    <w:p w:rsidR="00753E84" w:rsidRPr="001D4920" w:rsidRDefault="00054CD1" w:rsidP="00753E84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Zamawiający wzywa </w:t>
      </w:r>
      <w:r w:rsidR="004A6EEC">
        <w:rPr>
          <w:rFonts w:asciiTheme="majorHAnsi" w:eastAsia="Calibri" w:hAnsiTheme="majorHAnsi" w:cs="Times New Roman"/>
          <w:bCs/>
          <w:sz w:val="20"/>
          <w:szCs w:val="20"/>
        </w:rPr>
        <w:t>W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na dzień złożenia. </w:t>
      </w:r>
    </w:p>
    <w:p w:rsidR="00753E84" w:rsidRPr="001D4920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Podmiotowe środki dowodowe, o których mowa w ust. 3 wymagane od </w:t>
      </w:r>
      <w:r w:rsidR="0043778C">
        <w:rPr>
          <w:rFonts w:asciiTheme="majorHAnsi" w:eastAsia="Calibri" w:hAnsiTheme="majorHAnsi" w:cs="Times New Roman"/>
          <w:b/>
          <w:bCs/>
          <w:sz w:val="20"/>
          <w:szCs w:val="20"/>
        </w:rPr>
        <w:t>W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ykonawcy obejmują: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</w:p>
    <w:p w:rsidR="00753E84" w:rsidRPr="001D4920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-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oświadczenie wykonawcy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Załącznika nr 6 do SWZ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;</w:t>
      </w:r>
    </w:p>
    <w:p w:rsidR="004A6EEC" w:rsidRPr="004A6EEC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:rsidR="00054CD1" w:rsidRPr="001D4920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1D4920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>D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okumenty wymagane w przypadku składania oferty wspólnej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,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D4920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 xml:space="preserve">. </w:t>
      </w:r>
      <w:r w:rsidRPr="001D4920">
        <w:rPr>
          <w:rFonts w:asciiTheme="majorHAnsi" w:eastAsia="Calibri" w:hAnsiTheme="majorHAnsi"/>
          <w:i/>
          <w:sz w:val="20"/>
          <w:szCs w:val="20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  <w:r w:rsidR="0043778C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43778C">
        <w:rPr>
          <w:rFonts w:asciiTheme="majorHAnsi" w:eastAsia="Calibri" w:hAnsiTheme="majorHAnsi" w:cs="Times New Roman"/>
          <w:b/>
          <w:sz w:val="20"/>
          <w:szCs w:val="20"/>
        </w:rPr>
        <w:t>Pełnomocnictwo należy dołączyć do oferty.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Theme="majorHAnsi" w:eastAsia="Times New Roman" w:hAnsiTheme="majorHAnsi" w:cs="Cambria"/>
          <w:b/>
          <w:bCs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ROZDZIAŁ 8. </w:t>
      </w:r>
      <w:r w:rsidRPr="001D4920">
        <w:rPr>
          <w:rFonts w:asciiTheme="majorHAnsi" w:eastAsia="Times New Roman" w:hAnsiTheme="majorHAnsi" w:cs="Cambria"/>
          <w:b/>
          <w:lang w:eastAsia="zh-CN"/>
        </w:rPr>
        <w:t>INFORMACJA O ŚRODKACH KOMUNIKACJI ELEKTRONICZNEJ, PRZY UŻYCIU KTÓRYCH</w:t>
      </w:r>
      <w:r w:rsidR="00224632" w:rsidRPr="001D4920">
        <w:rPr>
          <w:rFonts w:asciiTheme="majorHAnsi" w:eastAsia="Times New Roman" w:hAnsiTheme="majorHAnsi" w:cs="Cambria"/>
          <w:b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lang w:eastAsia="zh-CN"/>
        </w:rPr>
        <w:t>ZAMAWIAJĄCY BĘDZIE KOMUNIKOWAŁ SIĘ Z WYKONAWCAMI ORAZ INFORMACJE O WYMAGANIACH TECHNICZNYCH I ORGANIZACYJNYCH SPORZĄDZANIA, WYSYŁANIA I ODBIERANIA KORESPONDENCJI ELEKTRONICZNEJ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1D4920">
          <w:rPr>
            <w:rFonts w:asciiTheme="majorHAnsi" w:eastAsia="Times New Roman" w:hAnsiTheme="majorHAnsi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konkretnego Wykonawcy.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lastRenderedPageBreak/>
        <w:t xml:space="preserve">Zamawiający,  zgodnie z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, tj.: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kb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/s,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włączona obsługa JavaScript,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Acrobat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Reader lub inny obsługujący format plików .pdf,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hh:mm:ss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A04FFB" w:rsidRPr="001D4920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1D4920">
          <w:rPr>
            <w:rFonts w:asciiTheme="majorHAnsi" w:eastAsia="Calibri" w:hAnsiTheme="majorHAnsi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 w zakładce „Regulamin" oraz uznaje go za wiążący,</w:t>
      </w:r>
    </w:p>
    <w:p w:rsidR="00A04FFB" w:rsidRPr="001D4920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. 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 informuje, że instrukcje korzystania z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dotyczące w szczególności logowania, składania </w:t>
      </w:r>
      <w:r w:rsidR="00E327EF" w:rsidRPr="001D4920">
        <w:rPr>
          <w:rFonts w:asciiTheme="majorHAnsi" w:eastAsia="Calibri" w:hAnsiTheme="majorHAnsi" w:cs="Cambria"/>
          <w:sz w:val="20"/>
          <w:szCs w:val="20"/>
          <w:lang w:eastAsia="zh-CN"/>
        </w:rPr>
        <w:t>wniosków o wyjaśnienie treści S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1D4920">
        <w:rPr>
          <w:rFonts w:asciiTheme="majorHAnsi" w:eastAsia="Calibri" w:hAnsiTheme="majorHAnsi" w:cs="Cambria"/>
          <w:color w:val="1155CC"/>
          <w:u w:val="single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Osobą uprawnioną do porozumiewania się z Wykonawcami - w zakresie zagadnień proceduralnych związanych z </w:t>
      </w:r>
      <w:r w:rsidR="00172B50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postępowaniem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jest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Monika Sołdatow-</w:t>
      </w:r>
      <w:r w:rsidR="00A9399D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rzewik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, </w:t>
      </w:r>
      <w:hyperlink r:id="rId18" w:history="1">
        <w:r w:rsidR="00CA46D2" w:rsidRPr="00396E5C">
          <w:rPr>
            <w:rStyle w:val="Hipercze"/>
            <w:rFonts w:asciiTheme="majorHAnsi" w:eastAsia="Times New Roman" w:hAnsiTheme="majorHAnsi" w:cs="Calibri"/>
            <w:b/>
            <w:sz w:val="20"/>
            <w:szCs w:val="24"/>
            <w:lang w:eastAsia="zh-CN"/>
          </w:rPr>
          <w:t>https://platformazakupowa.pl/pn/pollub</w:t>
        </w:r>
      </w:hyperlink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9. WYMAGANIA DOTYCZĄCE WADIUM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bookmarkStart w:id="6" w:name="_Toc31970290"/>
      <w:bookmarkEnd w:id="6"/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1D4920" w:rsidRDefault="00A04FFB" w:rsidP="00A04FFB">
      <w:pPr>
        <w:widowControl/>
        <w:autoSpaceDE/>
        <w:autoSpaceDN/>
        <w:spacing w:line="276" w:lineRule="auto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jc w:val="both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Do SWZ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załączony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Załącznikiem nr 3 do SWZ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Umowa zostanie uzupełniona o zapisy wynikające ze złożonej oferty.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Ponadto do SWZ załączony jest wzór umowy powierzenia danych osobowych </w:t>
      </w:r>
      <w:r w:rsidR="00A04600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Załącznikiem nr 4 do SWZ.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lastRenderedPageBreak/>
        <w:t xml:space="preserve">zamawiający może dokonać ponownego badania i oceny ofert spośród ofert pozostałych w postępowaniu wykonawców oraz wybrać najkorzystniejszą ofertę albo unieważnić postępowanie.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Zamawiający, zgodnie z art. 455 ust. 1 pkt. 1)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przewiduje możliwość dokonania zmian postanowień zawartej umowy w sprawie zamówienia publicznego, w sposób i na warunkach określonych w projekcie umowy.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Calibri" w:hAnsiTheme="majorHAnsi" w:cs="Times New Roman"/>
          <w:sz w:val="20"/>
          <w:szCs w:val="20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11. TERMIN ZWIĄZANIA OFERTĄ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rozpoczyna się w dniu otwarcia ofert, tj. </w:t>
      </w:r>
      <w:r w:rsidR="00CA46D2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1</w:t>
      </w:r>
      <w:r w:rsidR="0043778C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5</w:t>
      </w:r>
      <w:r w:rsidR="00CA46D2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.12.2021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.2021 r. i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upływa z dniem </w:t>
      </w:r>
      <w:r w:rsidR="00CA46D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1</w:t>
      </w:r>
      <w:r w:rsidR="0043778C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3</w:t>
      </w:r>
      <w:r w:rsidR="00CA46D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.01.2022</w:t>
      </w:r>
      <w:r w:rsidR="00D96598"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Przedłużenie terminu związania ofertą, następuje wraz z przedłużeniem okres</w:t>
      </w:r>
      <w:r w:rsidR="00E27179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u ważności wadium albo, jeżeli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214338">
      <w:pPr>
        <w:widowControl/>
        <w:autoSpaceDE/>
        <w:autoSpaceDN/>
        <w:spacing w:after="120" w:line="276" w:lineRule="auto"/>
        <w:rPr>
          <w:rFonts w:asciiTheme="majorHAnsi" w:eastAsia="Calibri" w:hAnsiTheme="majorHAnsi" w:cs="Cambria"/>
          <w:b/>
        </w:rPr>
      </w:pPr>
      <w:r w:rsidRPr="001D4920">
        <w:rPr>
          <w:rFonts w:asciiTheme="majorHAnsi" w:eastAsia="Calibri" w:hAnsiTheme="majorHAnsi" w:cs="Cambria"/>
          <w:b/>
        </w:rPr>
        <w:t>ROZDZIAŁ 12. OPIS SPOSOBU PRZYGOTOWANIA OFERTY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Wykonawca może złożyć tylko jedną ofertę.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Na ofertę składają się: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Wypełniony Formularz ofertowy </w:t>
      </w:r>
      <w:bookmarkStart w:id="7" w:name="_Hlk71021696"/>
      <w:r w:rsidRPr="001D4920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bookmarkEnd w:id="7"/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zgodny ze wzorem formularza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stanowiącym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Załącznik</w:t>
      </w:r>
      <w:r w:rsidRPr="001D4920">
        <w:rPr>
          <w:rFonts w:asciiTheme="majorHAnsi" w:eastAsia="Calibri" w:hAnsiTheme="majorHAnsi" w:cs="Cambria"/>
          <w:b/>
          <w:color w:val="FF0000"/>
          <w:sz w:val="20"/>
          <w:szCs w:val="20"/>
          <w:lang w:eastAsia="zh-CN"/>
        </w:rPr>
        <w:t xml:space="preserve"> </w:t>
      </w:r>
      <w:r w:rsidR="00A04600"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nr 1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do SWZ. </w:t>
      </w:r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1D4920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–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według wzoru stanowiącego</w:t>
      </w:r>
      <w:r w:rsidR="00A04600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Załącznik nr 2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Pełnomocnictwo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>(jeśli dotyczy).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Pełnomocnictwo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złożenia oferty musi być złożone w oryginale w takiej samej formie, jak składana oferta </w:t>
      </w:r>
      <w:r w:rsidRPr="001D4920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lub podpisem zaufanym lub podpisem osobistym. W procesie składania oferty</w:t>
      </w:r>
      <w:r w:rsidR="0043778C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na platformie, kwalifikowany podpis elektroniczny Wykonawca może złożyć bezpośrednio na dokumencie, który następnie przesyła do systemu</w:t>
      </w:r>
      <w:r w:rsidRPr="001D4920">
        <w:rPr>
          <w:rFonts w:asciiTheme="majorHAnsi" w:eastAsia="Calibri" w:hAnsiTheme="majorHAnsi" w:cs="Cambria"/>
          <w:sz w:val="20"/>
          <w:szCs w:val="20"/>
          <w:vertAlign w:val="superscript"/>
          <w:lang w:eastAsia="zh-CN"/>
        </w:rPr>
        <w:footnoteReference w:id="1"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(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opcja rekomendowana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przez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1D4920">
          <w:rPr>
            <w:rFonts w:asciiTheme="majorHAnsi" w:eastAsia="Calibri" w:hAnsiTheme="majorHAnsi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) oraz dodatkowo dla całego pakietu dokumentów w kroku 2 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Formularza składania oferty lub wniosku 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(po kliknięciu w przycisk 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Przejdź do podsumowania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).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lastRenderedPageBreak/>
        <w:t xml:space="preserve">Poświadczenia za zgodność z oryginałem dokonuje odpowiednio </w:t>
      </w:r>
      <w:r w:rsidR="0043778C">
        <w:rPr>
          <w:rFonts w:asciiTheme="majorHAnsi" w:eastAsia="Calibri" w:hAnsiTheme="majorHAnsi" w:cs="Cambria"/>
          <w:sz w:val="20"/>
          <w:szCs w:val="20"/>
          <w:lang w:eastAsia="zh-CN"/>
        </w:rPr>
        <w:t>W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ykonawca, , </w:t>
      </w:r>
      <w:r w:rsidR="00214338">
        <w:rPr>
          <w:rFonts w:asciiTheme="majorHAnsi" w:eastAsia="Calibri" w:hAnsiTheme="majorHAnsi" w:cs="Cambria"/>
          <w:sz w:val="20"/>
          <w:szCs w:val="20"/>
          <w:lang w:eastAsia="zh-CN"/>
        </w:rPr>
        <w:t>W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Oferta powinna być: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,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Pzp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nie ujawnia się informacji stanowiących tajemnicę przedsiębiorstwa,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Pr="0087002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700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22004C" w:rsidRPr="00D34E1D" w:rsidRDefault="0022004C" w:rsidP="0022004C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:rsidR="0022004C" w:rsidRPr="00D34E1D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22004C" w:rsidRPr="00D34E1D" w:rsidRDefault="0022004C" w:rsidP="0022004C">
      <w:pPr>
        <w:widowControl/>
        <w:numPr>
          <w:ilvl w:val="0"/>
          <w:numId w:val="4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.xls .jpg (.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:rsidR="0022004C" w:rsidRPr="00D34E1D" w:rsidRDefault="0022004C" w:rsidP="0022004C">
      <w:pPr>
        <w:widowControl/>
        <w:numPr>
          <w:ilvl w:val="0"/>
          <w:numId w:val="4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:rsidR="0022004C" w:rsidRPr="00D34E1D" w:rsidRDefault="0022004C" w:rsidP="0022004C">
      <w:pPr>
        <w:widowControl/>
        <w:numPr>
          <w:ilvl w:val="1"/>
          <w:numId w:val="48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:rsidR="0022004C" w:rsidRPr="00D34E1D" w:rsidRDefault="0022004C" w:rsidP="0022004C">
      <w:pPr>
        <w:widowControl/>
        <w:numPr>
          <w:ilvl w:val="1"/>
          <w:numId w:val="48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:rsidR="0022004C" w:rsidRPr="00C43E70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hAnsi="Times New Roman" w:cs="Times New Roman"/>
          <w:sz w:val="20"/>
          <w:szCs w:val="20"/>
        </w:rPr>
        <w:lastRenderedPageBreak/>
        <w:t>Wśród formatów powszechnych a NIE występujących w rozporządzeniu występują: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.gif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C43E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zwraca uwagę na ograniczenia wielkości plików podpisywanych profilem zaufanym, który wynosi max 10MB, oraz na ograniczenie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wielkości plików podpisywanych w aplikacji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:rsidR="0022004C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004C" w:rsidRPr="00D34E1D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="0021433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Wykonawca 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01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wprowadza</w:t>
      </w:r>
      <w:r w:rsidR="002143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ł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co równoważne będzie z koniecznością odrzucenia oferty w postępowaniu.</w:t>
      </w:r>
    </w:p>
    <w:p w:rsidR="00A04FFB" w:rsidRPr="001D4920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Theme="majorHAnsi" w:eastAsia="Calibri" w:hAnsiTheme="majorHAnsi" w:cs="Cambria"/>
          <w:color w:val="FF0000"/>
          <w:sz w:val="20"/>
          <w:szCs w:val="20"/>
          <w:lang w:eastAsia="zh-CN"/>
        </w:rPr>
      </w:pPr>
    </w:p>
    <w:p w:rsidR="00A04FFB" w:rsidRPr="00172B50" w:rsidRDefault="00A04FFB" w:rsidP="00172B50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Theme="majorHAnsi" w:eastAsia="Calibri" w:hAnsiTheme="majorHAnsi" w:cs="Cambria"/>
          <w:b/>
          <w:lang w:eastAsia="zh-CN"/>
        </w:rPr>
      </w:pPr>
      <w:r w:rsidRPr="001D4920">
        <w:rPr>
          <w:rFonts w:asciiTheme="majorHAnsi" w:eastAsia="Calibri" w:hAnsiTheme="majorHAnsi" w:cs="Cambria"/>
          <w:b/>
          <w:lang w:eastAsia="zh-CN"/>
        </w:rPr>
        <w:t>ROZDZIAŁ 13. SPOSÓB ORAZ TERMIN SKŁADANIA OFERT. TERMIN OTWARCIA OFERT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hyperlink r:id="rId23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pl-PL"/>
        </w:rPr>
        <w:t xml:space="preserve">do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dnia </w:t>
      </w:r>
      <w:r w:rsidR="00CA46D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1</w:t>
      </w:r>
      <w:r w:rsidR="00214338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5</w:t>
      </w:r>
      <w:r w:rsidR="00CA46D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.12</w:t>
      </w:r>
      <w:r w:rsidR="00A9399D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2021r. do godziny 10:00.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Do oferty należy dołączyć wszystkie wymagane w SWZ dokumenty. 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mbria" w:hAnsiTheme="majorHAnsi" w:cs="Cambria"/>
          <w:sz w:val="20"/>
          <w:szCs w:val="20"/>
          <w:lang w:eastAsia="pl-PL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1D4920">
          <w:rPr>
            <w:rFonts w:asciiTheme="majorHAnsi" w:eastAsia="Calibri" w:hAnsiTheme="majorHAnsi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Wykonawca po upływie terminu do składania ofert nie może wycofać złożonej oferty.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Otwarcie ofert następuje niezwłocznie po upływie terminu składania ofert, nie później niż następnego dnia po dniu, w którym upłynął termin składania ofert tj.</w:t>
      </w:r>
      <w:r w:rsidRPr="001D4920">
        <w:rPr>
          <w:rFonts w:asciiTheme="majorHAnsi" w:eastAsia="Calibri" w:hAnsiTheme="majorHAnsi" w:cs="Cambria"/>
          <w:color w:val="FF0000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dnia </w:t>
      </w:r>
      <w:r w:rsidR="00CA46D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1</w:t>
      </w:r>
      <w:r w:rsidR="00214338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5</w:t>
      </w:r>
      <w:r w:rsidR="00CA46D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.12</w:t>
      </w:r>
      <w:r w:rsidR="00A9399D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</w:t>
      </w:r>
      <w:r w:rsidR="00920D75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2021r.,  godzina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 10:</w:t>
      </w:r>
      <w:r w:rsidR="002C7C84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0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5.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lastRenderedPageBreak/>
        <w:t>Zamawiający poinformuje o zmianie terminu otwarcia ofert na stronie internetowej prowadzonego postępowania.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1D4920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1D4920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cenach lub kosztach zawartych w ofertach.</w:t>
      </w:r>
    </w:p>
    <w:p w:rsidR="00A04FFB" w:rsidRPr="001D4920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 sekcji ,,Komunikaty”.</w:t>
      </w:r>
    </w:p>
    <w:p w:rsidR="00A04FFB" w:rsidRPr="001D4920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</w:p>
    <w:p w:rsidR="00A04FFB" w:rsidRPr="00172B50" w:rsidRDefault="00A04FFB" w:rsidP="00172B5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bCs/>
          <w:lang w:eastAsia="pl-PL"/>
        </w:rPr>
      </w:pPr>
      <w:r w:rsidRPr="001D4920">
        <w:rPr>
          <w:rFonts w:asciiTheme="majorHAnsi" w:eastAsia="Times New Roman" w:hAnsiTheme="majorHAnsi" w:cs="Cambria"/>
          <w:b/>
          <w:bCs/>
          <w:lang w:eastAsia="pl-PL"/>
        </w:rPr>
        <w:t>ROZDZIAŁ 14. SPOSÓB OBLICZENIA CENY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w rozumieniu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art. 7 pkt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warto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ść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wyrażoną w jednostkach pieni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ęż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nych, któr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ą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cy jest obowi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zany zapłaci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ć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przedsi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biorcy za towar lub usług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 w cenie uwzgl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dnia si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ę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podatek od towarów i usług oraz podatek akcyzowy, jeżeli na podstawie odr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bnych przepisów podlega temu obci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ąż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eniu.</w:t>
      </w:r>
    </w:p>
    <w:p w:rsidR="00A04FFB" w:rsidRPr="001D4920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Załącznik nr </w:t>
      </w:r>
      <w:r w:rsidR="00A04600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1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do SWZ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(ryczałt).</w:t>
      </w:r>
    </w:p>
    <w:p w:rsidR="00A04FFB" w:rsidRPr="00CA46D2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CA46D2">
        <w:rPr>
          <w:rFonts w:asciiTheme="majorHAnsi" w:eastAsia="Times New Roman" w:hAnsiTheme="majorHAnsi" w:cs="Cambria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CA46D2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 i wymaganiami Zamawiającego przedstawionymi w SWZ</w:t>
      </w:r>
      <w:r w:rsidRPr="00CA46D2">
        <w:rPr>
          <w:rFonts w:asciiTheme="majorHAnsi" w:eastAsia="Times New Roman" w:hAnsiTheme="majorHAnsi" w:cs="Cambria"/>
          <w:bCs/>
          <w:sz w:val="20"/>
          <w:szCs w:val="20"/>
          <w:lang w:eastAsia="pl-PL"/>
        </w:rPr>
        <w:t>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może zaoferować tylko jedną cenę za przedmiot zamówienia.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1D4920" w:rsidRDefault="00A04FFB" w:rsidP="00A04FFB">
      <w:pPr>
        <w:widowControl/>
        <w:suppressAutoHyphens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</w:p>
    <w:p w:rsidR="00A04FFB" w:rsidRPr="001D4920" w:rsidRDefault="00A04FFB" w:rsidP="00E27179">
      <w:pPr>
        <w:widowControl/>
        <w:suppressAutoHyphens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I SPOSOBU OCENY OFERTY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BC6885" w:rsidRPr="001D4920" w:rsidRDefault="0026084B" w:rsidP="003851FF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Cena brutto– 6</w:t>
      </w:r>
      <w:r w:rsidR="00A04FFB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0%;</w:t>
      </w:r>
    </w:p>
    <w:p w:rsidR="00A04FFB" w:rsidRPr="001D4920" w:rsidRDefault="00FA4CFC" w:rsidP="003851FF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Kryterium jakościowe - 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Doświadczenie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trenera (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hAnsiTheme="majorHAnsi" w:cstheme="minorHAnsi"/>
          <w:b/>
          <w:sz w:val="20"/>
          <w:szCs w:val="20"/>
        </w:rPr>
        <w:t>osób w</w:t>
      </w:r>
      <w:r w:rsidR="00BF30D1" w:rsidRPr="001D4920">
        <w:rPr>
          <w:rFonts w:asciiTheme="majorHAnsi" w:hAnsiTheme="majorHAnsi" w:cstheme="minorHAnsi"/>
          <w:b/>
          <w:sz w:val="20"/>
          <w:szCs w:val="20"/>
        </w:rPr>
        <w:t>yznaczonych</w:t>
      </w:r>
      <w:r w:rsidRPr="001D4920">
        <w:rPr>
          <w:rFonts w:asciiTheme="majorHAnsi" w:hAnsiTheme="majorHAnsi" w:cstheme="minorHAnsi"/>
          <w:b/>
          <w:sz w:val="20"/>
          <w:szCs w:val="20"/>
        </w:rPr>
        <w:t xml:space="preserve"> do realizacji zamówienia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) 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– 4</w:t>
      </w:r>
      <w:r w:rsidR="00D96598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0%</w:t>
      </w:r>
    </w:p>
    <w:p w:rsidR="00BC6885" w:rsidRPr="001D4920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6350"/>
      </w:tblGrid>
      <w:tr w:rsidR="00BC6885" w:rsidRPr="001D4920" w:rsidTr="00214338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BC6885" w:rsidRPr="001D4920" w:rsidTr="00214338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lastRenderedPageBreak/>
              <w:t xml:space="preserve">Cena brutto </w:t>
            </w:r>
          </w:p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MS Mincho" w:hAnsiTheme="majorHAnsi" w:cs="Times New Roman"/>
                <w:b/>
                <w:i/>
                <w:sz w:val="16"/>
                <w:szCs w:val="16"/>
                <w:u w:val="single"/>
                <w:lang w:eastAsia="zh-CN"/>
              </w:rPr>
            </w:pPr>
            <w:r w:rsidRPr="001D4920">
              <w:rPr>
                <w:rFonts w:asciiTheme="majorHAnsi" w:eastAsia="MS Mincho" w:hAnsiTheme="majorHAnsi" w:cs="Times New Roman"/>
                <w:b/>
                <w:i/>
                <w:sz w:val="16"/>
                <w:szCs w:val="16"/>
                <w:u w:val="single"/>
                <w:lang w:eastAsia="zh-CN"/>
              </w:rPr>
              <w:t>Cena obejmuje: materiały szkoleniowe, koszty pracy trenera, w tym koszt opracowania programu, materiałów dydaktycznych</w:t>
            </w:r>
            <w:r w:rsidR="00281455" w:rsidRPr="001D4920">
              <w:rPr>
                <w:rFonts w:asciiTheme="majorHAnsi" w:eastAsia="MS Mincho" w:hAnsiTheme="majorHAnsi" w:cs="Times New Roman"/>
                <w:b/>
                <w:i/>
                <w:sz w:val="16"/>
                <w:szCs w:val="16"/>
                <w:u w:val="single"/>
                <w:lang w:eastAsia="zh-CN"/>
              </w:rPr>
              <w:t xml:space="preserve"> oraz zapewnienie platformy do zdalnego prowadzenia zajęć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zh-CN"/>
              </w:rPr>
            </w:pP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>gdzie: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1D492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>;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proofErr w:type="spellStart"/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Co</w:t>
            </w: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ar-SA"/>
              </w:rPr>
              <w:t>60 %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BC6885" w:rsidRPr="001D4920" w:rsidRDefault="00BC6885" w:rsidP="005D6C89">
            <w:pPr>
              <w:widowControl/>
              <w:suppressAutoHyphens/>
              <w:autoSpaceDE/>
              <w:autoSpaceDN/>
              <w:spacing w:before="120" w:after="120" w:line="276" w:lineRule="auto"/>
              <w:ind w:left="37"/>
              <w:jc w:val="both"/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jc w:val="both"/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Theme="majorHAnsi" w:eastAsia="MS Mincho" w:hAnsiTheme="majorHAnsi" w:cs="Times New Roman"/>
                <w:sz w:val="16"/>
                <w:szCs w:val="16"/>
                <w:lang w:eastAsia="zh-CN"/>
              </w:rPr>
            </w:pPr>
          </w:p>
        </w:tc>
      </w:tr>
      <w:tr w:rsidR="00BC6885" w:rsidRPr="001D4920" w:rsidTr="00214338">
        <w:trPr>
          <w:cantSplit/>
          <w:trHeight w:val="27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 xml:space="preserve">Doświadczenie zawodowe trenera </w:t>
            </w: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br/>
              <w:t>„D”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D6D" w:rsidRPr="006E2CA1" w:rsidRDefault="00377D6D" w:rsidP="00377D6D">
            <w:pPr>
              <w:widowControl/>
              <w:suppressAutoHyphens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Zamawiający zbada i oceni doświadczenie trenera / osób wyznaczonych do realizacji zamówienia)</w:t>
            </w:r>
          </w:p>
          <w:p w:rsidR="00377D6D" w:rsidRPr="006E2CA1" w:rsidRDefault="00377D6D" w:rsidP="00377D6D">
            <w:pPr>
              <w:widowControl/>
              <w:suppressAutoHyphens/>
              <w:autoSpaceDN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Wykonawca otrzyma dodatkowe punkty za wskazanie trenera / osoby wyznaczonej do realizacji zamówienia, który będzie miał odpowiednie doświadczenie zawodowe  w zakresie przeprowadzenia szkoleń z zakresu objętego zamówieniem (z zakresu kompetencji zarządczych) oraz przeszkoleniem odpowiedniej liczby osób </w:t>
            </w:r>
          </w:p>
          <w:p w:rsidR="00377D6D" w:rsidRPr="006E2CA1" w:rsidRDefault="00377D6D" w:rsidP="00377D6D">
            <w:pPr>
              <w:widowControl/>
              <w:suppressAutoHyphens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 punktów –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 doświadczeni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 przeprowadzeniu szkoleń z zakresu objętego zamówieniem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(z zakresu kompetencji zarządczych) oraz przeszkoleniem </w:t>
            </w: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minimum 100 osób w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tym zakresie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377D6D" w:rsidRPr="006E2CA1" w:rsidRDefault="00377D6D" w:rsidP="00377D6D">
            <w:pPr>
              <w:widowControl/>
              <w:suppressAutoHyphens/>
              <w:autoSpaceDN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 punktów –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 doświadczeni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 przeprowadzeniu szkoleń z zakresu objętego zamówieniem (z zakresu kompetencji zarządczych) oraz przeszkoleniem </w:t>
            </w: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między 101 a 150 osób w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tym zakresie</w:t>
            </w:r>
          </w:p>
          <w:p w:rsidR="00377D6D" w:rsidRPr="006E2CA1" w:rsidRDefault="00377D6D" w:rsidP="00377D6D">
            <w:pPr>
              <w:widowControl/>
              <w:suppressAutoHyphens/>
              <w:autoSpaceDN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40 punktów –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 doświadczeni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</w:t>
            </w: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 przeprowadzeniu szkoleń z zakresu objętego zamówieniem (z zakresu kompetencji zarządczych) oraz przeszkoleniem </w:t>
            </w: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powyżej 150 osób w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tym zakresie</w:t>
            </w:r>
          </w:p>
          <w:p w:rsidR="00377D6D" w:rsidRPr="006E2CA1" w:rsidRDefault="00377D6D" w:rsidP="00377D6D">
            <w:pPr>
              <w:widowControl/>
              <w:suppressAutoHyphens/>
              <w:autoSpaceDN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:rsidR="00BC6885" w:rsidRPr="001D4920" w:rsidRDefault="00377D6D" w:rsidP="00377D6D">
            <w:pPr>
              <w:widowControl/>
              <w:suppressAutoHyphens/>
              <w:autoSpaceDN/>
              <w:spacing w:line="276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6E2CA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  <w:bookmarkStart w:id="8" w:name="_GoBack"/>
            <w:bookmarkEnd w:id="8"/>
          </w:p>
        </w:tc>
      </w:tr>
    </w:tbl>
    <w:p w:rsidR="00920668" w:rsidRPr="001D4920" w:rsidRDefault="00920668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dokona całkowitej o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ceny końcowej ofert </w:t>
      </w:r>
      <w:r w:rsidR="00920668"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dla każdej z części osobno 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według poniższego wzoru:</w:t>
      </w:r>
    </w:p>
    <w:p w:rsidR="00A04FFB" w:rsidRPr="001D4920" w:rsidRDefault="00A04FFB" w:rsidP="00A04FFB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="00DF3079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Op</w:t>
      </w:r>
      <w:proofErr w:type="spellEnd"/>
      <w:r w:rsidR="00DF3079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= C + </w:t>
      </w:r>
      <w:r w:rsidR="00920668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D</w:t>
      </w:r>
    </w:p>
    <w:p w:rsidR="00A04FFB" w:rsidRPr="001D4920" w:rsidRDefault="00A04FFB" w:rsidP="00A04FFB">
      <w:pPr>
        <w:widowControl/>
        <w:suppressAutoHyphens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proofErr w:type="spellStart"/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Op</w:t>
      </w:r>
      <w:proofErr w:type="spellEnd"/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A04FFB" w:rsidRPr="001D4920" w:rsidRDefault="00A04FFB" w:rsidP="00892A7E">
      <w:pPr>
        <w:widowControl/>
        <w:suppressAutoHyphens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C 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– ocena punk</w:t>
      </w:r>
      <w:r w:rsidR="00892A7E"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towa uzyskana za kryterium </w:t>
      </w:r>
      <w:r w:rsidR="00892A7E" w:rsidRPr="00214338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cena</w:t>
      </w:r>
      <w:r w:rsidRPr="00214338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;</w:t>
      </w:r>
    </w:p>
    <w:p w:rsidR="001D39AB" w:rsidRPr="001D4920" w:rsidRDefault="00920668" w:rsidP="00A04FFB">
      <w:pPr>
        <w:widowControl/>
        <w:suppressAutoHyphens/>
        <w:autoSpaceDE/>
        <w:autoSpaceDN/>
        <w:spacing w:line="276" w:lineRule="auto"/>
        <w:ind w:left="284"/>
        <w:rPr>
          <w:rFonts w:asciiTheme="majorHAnsi" w:eastAsia="MS Mincho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D</w:t>
      </w:r>
      <w:r w:rsidR="001D39AB"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 xml:space="preserve"> </w:t>
      </w:r>
      <w:r w:rsidR="001D39AB"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 xml:space="preserve">– ocena punktowa uzyskana za kryterium </w:t>
      </w: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Doświadczenie Wykonawcy/</w:t>
      </w:r>
      <w:r w:rsidR="002C7C84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 xml:space="preserve">Doświadczenie zawodowe </w:t>
      </w: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trenera</w:t>
      </w:r>
      <w:r w:rsidR="001D39AB"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Times New Roman"/>
          <w:color w:val="FF0000"/>
          <w:sz w:val="24"/>
          <w:szCs w:val="24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2C7C84" w:rsidRDefault="00A04FFB" w:rsidP="002C7C84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WYBORZE OFERTY W CELU ZAWARCIA UMOWY W SPRAWIE ZAMÓWIENIA PUBLICZNEGO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1D4920">
          <w:rPr>
            <w:rFonts w:asciiTheme="majorHAnsi" w:eastAsia="Times New Roman" w:hAnsiTheme="majorHAnsi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,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lastRenderedPageBreak/>
        <w:t>Zamawiający może zawrzeć umowę w sprawie zamówienia publicznego przed upływem terminu, o którym mowa w ust. 2, jeżeli w postępowaniu o udzielenie zamówienia złożono tylko jedna ofertę.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9D161C" w:rsidRPr="001D4920" w:rsidRDefault="009D161C" w:rsidP="009D161C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Przed podpisaniem Umowy Wykonawca zobowiązany jest przedstawić Zamawiającemu zestawienie osób wskaz</w:t>
      </w:r>
      <w:r w:rsidRPr="001D4920">
        <w:rPr>
          <w:rFonts w:asciiTheme="majorHAnsi" w:hAnsiTheme="majorHAnsi" w:cstheme="minorHAnsi"/>
          <w:b/>
          <w:sz w:val="20"/>
          <w:szCs w:val="20"/>
        </w:rPr>
        <w:t xml:space="preserve"> osób wskazanych do realizacji zamówienia z podaniem ich </w:t>
      </w:r>
      <w:r w:rsidRPr="001D4920">
        <w:rPr>
          <w:rFonts w:asciiTheme="majorHAnsi" w:hAnsiTheme="majorHAnsi" w:cs="Calibri"/>
          <w:b/>
          <w:sz w:val="20"/>
          <w:szCs w:val="20"/>
        </w:rPr>
        <w:t>wykształcenia i doświadczenia zawodowego (tak aby było zgodne z deklaracją zawartą w formularzu oferty).</w:t>
      </w:r>
    </w:p>
    <w:p w:rsidR="00E327EF" w:rsidRPr="001D4920" w:rsidRDefault="00E327EF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:rsidR="00A04FFB" w:rsidRPr="002C7C84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17. POUCZENIE O ŚRODKACH OCHRONY PRAWNEJ PRZYSŁUGUJĄCYCH WYKONAWCY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Odwołanie przysługuje na: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zaniechanie przeprowadzenia postępowania o udzielenie zamówienia na podstawie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mimo że Zamawiający był do tego obowiązany.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color w:val="FF0000"/>
          <w:lang w:eastAsia="zh-CN"/>
        </w:rPr>
      </w:pPr>
    </w:p>
    <w:p w:rsidR="00A04FFB" w:rsidRPr="002C7C84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18. INNE POSTANOWIENIA SWZ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u w:val="single"/>
          <w:lang w:eastAsia="zh-CN"/>
        </w:rPr>
        <w:t>Zamawiający</w:t>
      </w:r>
      <w:r w:rsidR="00CA46D2">
        <w:rPr>
          <w:rFonts w:asciiTheme="majorHAnsi" w:eastAsia="Times New Roman" w:hAnsiTheme="majorHAnsi" w:cs="Cambria"/>
          <w:b/>
          <w:sz w:val="20"/>
          <w:szCs w:val="20"/>
          <w:u w:val="single"/>
          <w:lang w:eastAsia="zh-CN"/>
        </w:rPr>
        <w:t xml:space="preserve"> nie</w:t>
      </w:r>
      <w:r w:rsidRPr="001D4920">
        <w:rPr>
          <w:rFonts w:asciiTheme="majorHAnsi" w:eastAsia="Times New Roman" w:hAnsiTheme="majorHAnsi" w:cs="Cambria"/>
          <w:b/>
          <w:sz w:val="20"/>
          <w:szCs w:val="20"/>
          <w:u w:val="single"/>
          <w:lang w:eastAsia="zh-CN"/>
        </w:rPr>
        <w:t xml:space="preserve"> dopuszcza składania ofert częściowych.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1D4920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543671" w:rsidRPr="001D4920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ust.1 pkt 7 i 8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zaliczek na poczet wykonania zamówienia.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Zamawiający nie przewiduje zawarcia umowy ramowej.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aukcji elektronicznej.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1D4920" w:rsidRDefault="004A13AD" w:rsidP="00A04600">
      <w:pPr>
        <w:widowControl/>
        <w:numPr>
          <w:ilvl w:val="0"/>
          <w:numId w:val="20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eastAsia="zh-CN"/>
        </w:rPr>
      </w:pPr>
    </w:p>
    <w:p w:rsidR="00A04FFB" w:rsidRPr="001D4920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Times New Roman"/>
          <w:b/>
          <w:bCs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lang w:eastAsia="zh-CN"/>
        </w:rPr>
        <w:t xml:space="preserve">ROZDZIAŁ 19. 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INFORMACJE DOTYCZĄCE PRZETWARZANIA DANYCH OSOBOWYCH WYKONAWCÓW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Wykonawcy będącego osobą fizyczną;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pełnomocnika Wykonawcy będącego osobą fizyczną;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dalej „RODO”,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informuje że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: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>38D, 20-618 Lublin;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dane osobowe Wykonawcy przetwarzane będą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na podstawie art. 6 ust. 1 lit. c RODO w celu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związanym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odbiorcami danych osobowych Wykonawcy będą osoby lub podmioty,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;  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dane osobowe Wykonawcy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będą przechowywane, zgodnie z art. 78 ust.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, przez okres co najmniej 4 lat od dnia zakończenia postępowania o udzielenie zamówienia, a jeżeli czas trwania umowy przekracza 4 lata, okres przechowywania obejmuje cały czas trwania umowy;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;  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posiada prawo do wniesienia skargi do Prezesa Urzędu Ochrony Danych Osobowych, gdy uzna, że przetwarzanie danych osobowych jego dotyczących narusza przepisy RODO.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 xml:space="preserve">Wykonawcy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w związku z art. 17 ust. 3 lit. b, d lub e RODO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nie przysługuje prawo do usunięcia danych osobowych.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Wykonawcy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Wykonawca zobowiązany jest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osoby fizycznej skierowanej do realizacji zamówienia;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2C7C84" w:rsidRDefault="00A04FFB" w:rsidP="002C7C84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20. INTEGRALNĄ CZĘŚĆ SWZ STANOWIĄ NASTĘPUJĄCE ZAŁĄCZNIKI:</w:t>
      </w:r>
    </w:p>
    <w:p w:rsidR="00A04FFB" w:rsidRPr="001D4920" w:rsidRDefault="00950E2D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1</w:t>
      </w:r>
      <w:r w:rsidR="00A04FFB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– Formularz ofertowy </w:t>
      </w:r>
    </w:p>
    <w:p w:rsidR="00A04FFB" w:rsidRPr="001D4920" w:rsidRDefault="00A04FFB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950E2D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2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- Oświadczenie o braku podstaw do wykluczenia</w:t>
      </w:r>
    </w:p>
    <w:p w:rsidR="00950E2D" w:rsidRPr="001D4920" w:rsidRDefault="00A04FFB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950E2D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3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- Wzór Umowy </w:t>
      </w:r>
    </w:p>
    <w:p w:rsidR="00950E2D" w:rsidRPr="001D4920" w:rsidRDefault="00950E2D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4 do SWZ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-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Wzór umowy powierzenia danych osobowych.</w:t>
      </w:r>
    </w:p>
    <w:p w:rsidR="00A04600" w:rsidRPr="001D4920" w:rsidRDefault="00A04600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5 do SWZ – Matryca efektów kształcenia</w:t>
      </w:r>
    </w:p>
    <w:p w:rsidR="00753E84" w:rsidRPr="001D4920" w:rsidRDefault="00753E84" w:rsidP="00753E84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6 do SWZ – Oświadczenie Wykonawcy (aktualizacja informacji)</w:t>
      </w:r>
    </w:p>
    <w:p w:rsidR="00950E2D" w:rsidRPr="001D4920" w:rsidRDefault="00950E2D" w:rsidP="00950E2D">
      <w:pPr>
        <w:widowControl/>
        <w:tabs>
          <w:tab w:val="left" w:pos="567"/>
        </w:tabs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sectPr w:rsidR="00950E2D" w:rsidRPr="001D4920" w:rsidSect="004E0BBD">
      <w:headerReference w:type="default" r:id="rId28"/>
      <w:headerReference w:type="first" r:id="rId29"/>
      <w:footerReference w:type="first" r:id="rId30"/>
      <w:pgSz w:w="11910" w:h="16840"/>
      <w:pgMar w:top="1134" w:right="1021" w:bottom="964" w:left="1021" w:header="397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41" w:rsidRDefault="00173441">
      <w:r>
        <w:separator/>
      </w:r>
    </w:p>
  </w:endnote>
  <w:endnote w:type="continuationSeparator" w:id="0">
    <w:p w:rsidR="00173441" w:rsidRDefault="0017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C" w:rsidRDefault="00FA4CFC">
    <w:pPr>
      <w:pStyle w:val="Stopka"/>
    </w:pPr>
    <w:r>
      <w:rPr>
        <w:noProof/>
        <w:lang w:eastAsia="pl-PL"/>
      </w:rPr>
      <w:drawing>
        <wp:inline distT="0" distB="0" distL="0" distR="0">
          <wp:extent cx="5914390" cy="1096752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390" cy="1096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41" w:rsidRDefault="00173441">
      <w:r>
        <w:separator/>
      </w:r>
    </w:p>
  </w:footnote>
  <w:footnote w:type="continuationSeparator" w:id="0">
    <w:p w:rsidR="00173441" w:rsidRDefault="00173441">
      <w:r>
        <w:continuationSeparator/>
      </w:r>
    </w:p>
  </w:footnote>
  <w:footnote w:id="1">
    <w:p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C" w:rsidRPr="008018D5" w:rsidRDefault="00FA4CFC" w:rsidP="008018D5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6484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85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C" w:rsidRDefault="00FA4CFC">
    <w:pPr>
      <w:pStyle w:val="Nagwek"/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122670" cy="1368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13683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E21A45"/>
    <w:multiLevelType w:val="hybridMultilevel"/>
    <w:tmpl w:val="E504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A257E"/>
    <w:multiLevelType w:val="hybridMultilevel"/>
    <w:tmpl w:val="3E56F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516AC4"/>
    <w:multiLevelType w:val="hybridMultilevel"/>
    <w:tmpl w:val="3B5A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922D7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21A314CE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A1360FC"/>
    <w:multiLevelType w:val="hybridMultilevel"/>
    <w:tmpl w:val="FABE1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221D22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6B4D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E7FAF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7740F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64D"/>
    <w:multiLevelType w:val="multilevel"/>
    <w:tmpl w:val="BEDEEA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6F1844B9"/>
    <w:multiLevelType w:val="hybridMultilevel"/>
    <w:tmpl w:val="6EEA6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5201762"/>
    <w:multiLevelType w:val="hybridMultilevel"/>
    <w:tmpl w:val="A004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0F5F41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23FD0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3FB4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</w:num>
  <w:num w:numId="26">
    <w:abstractNumId w:val="35"/>
  </w:num>
  <w:num w:numId="27">
    <w:abstractNumId w:val="34"/>
  </w:num>
  <w:num w:numId="28">
    <w:abstractNumId w:val="22"/>
  </w:num>
  <w:num w:numId="29">
    <w:abstractNumId w:val="13"/>
  </w:num>
  <w:num w:numId="30">
    <w:abstractNumId w:val="10"/>
  </w:num>
  <w:num w:numId="31">
    <w:abstractNumId w:val="15"/>
  </w:num>
  <w:num w:numId="32">
    <w:abstractNumId w:val="3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  <w:num w:numId="37">
    <w:abstractNumId w:val="9"/>
  </w:num>
  <w:num w:numId="38">
    <w:abstractNumId w:val="11"/>
  </w:num>
  <w:num w:numId="39">
    <w:abstractNumId w:val="42"/>
  </w:num>
  <w:num w:numId="40">
    <w:abstractNumId w:val="25"/>
  </w:num>
  <w:num w:numId="41">
    <w:abstractNumId w:val="20"/>
  </w:num>
  <w:num w:numId="42">
    <w:abstractNumId w:val="39"/>
  </w:num>
  <w:num w:numId="43">
    <w:abstractNumId w:val="27"/>
  </w:num>
  <w:num w:numId="44">
    <w:abstractNumId w:val="29"/>
  </w:num>
  <w:num w:numId="45">
    <w:abstractNumId w:val="40"/>
  </w:num>
  <w:num w:numId="46">
    <w:abstractNumId w:val="18"/>
  </w:num>
  <w:num w:numId="47">
    <w:abstractNumId w:val="43"/>
  </w:num>
  <w:num w:numId="48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0731E"/>
    <w:rsid w:val="00017E2F"/>
    <w:rsid w:val="00021254"/>
    <w:rsid w:val="00035EF9"/>
    <w:rsid w:val="000535A0"/>
    <w:rsid w:val="00054CD1"/>
    <w:rsid w:val="00081905"/>
    <w:rsid w:val="00085F9C"/>
    <w:rsid w:val="000906EA"/>
    <w:rsid w:val="000A5ADF"/>
    <w:rsid w:val="000C019B"/>
    <w:rsid w:val="000D0DDB"/>
    <w:rsid w:val="00131BEB"/>
    <w:rsid w:val="00144A88"/>
    <w:rsid w:val="00150019"/>
    <w:rsid w:val="001505ED"/>
    <w:rsid w:val="001562AC"/>
    <w:rsid w:val="00172B50"/>
    <w:rsid w:val="00173441"/>
    <w:rsid w:val="00193A5A"/>
    <w:rsid w:val="0019612A"/>
    <w:rsid w:val="001A58E0"/>
    <w:rsid w:val="001C74F5"/>
    <w:rsid w:val="001C7756"/>
    <w:rsid w:val="001D39AB"/>
    <w:rsid w:val="001D4920"/>
    <w:rsid w:val="001E2552"/>
    <w:rsid w:val="001E32B2"/>
    <w:rsid w:val="001E6395"/>
    <w:rsid w:val="001F028A"/>
    <w:rsid w:val="001F676A"/>
    <w:rsid w:val="00202CCE"/>
    <w:rsid w:val="00214338"/>
    <w:rsid w:val="0022004C"/>
    <w:rsid w:val="00224632"/>
    <w:rsid w:val="002561BD"/>
    <w:rsid w:val="0026084B"/>
    <w:rsid w:val="00262C2A"/>
    <w:rsid w:val="00281222"/>
    <w:rsid w:val="00281455"/>
    <w:rsid w:val="00290228"/>
    <w:rsid w:val="002A34F2"/>
    <w:rsid w:val="002C23AE"/>
    <w:rsid w:val="002C7A1F"/>
    <w:rsid w:val="002C7C84"/>
    <w:rsid w:val="002D160C"/>
    <w:rsid w:val="00307F56"/>
    <w:rsid w:val="0031317E"/>
    <w:rsid w:val="00345BE4"/>
    <w:rsid w:val="0035032A"/>
    <w:rsid w:val="00377D6D"/>
    <w:rsid w:val="003851FF"/>
    <w:rsid w:val="00385B1C"/>
    <w:rsid w:val="003B1FFB"/>
    <w:rsid w:val="003D2178"/>
    <w:rsid w:val="003E319D"/>
    <w:rsid w:val="003F69C3"/>
    <w:rsid w:val="00402571"/>
    <w:rsid w:val="0043778C"/>
    <w:rsid w:val="00447834"/>
    <w:rsid w:val="004665FB"/>
    <w:rsid w:val="00472610"/>
    <w:rsid w:val="0047368C"/>
    <w:rsid w:val="0047710C"/>
    <w:rsid w:val="004830E6"/>
    <w:rsid w:val="004A13AD"/>
    <w:rsid w:val="004A6EEC"/>
    <w:rsid w:val="004C2B82"/>
    <w:rsid w:val="004E0BBD"/>
    <w:rsid w:val="00500D94"/>
    <w:rsid w:val="00520474"/>
    <w:rsid w:val="00543671"/>
    <w:rsid w:val="005566B9"/>
    <w:rsid w:val="005709A5"/>
    <w:rsid w:val="005C066A"/>
    <w:rsid w:val="005C15FA"/>
    <w:rsid w:val="005D30C2"/>
    <w:rsid w:val="005D6C89"/>
    <w:rsid w:val="005D758F"/>
    <w:rsid w:val="00601596"/>
    <w:rsid w:val="00602605"/>
    <w:rsid w:val="00610395"/>
    <w:rsid w:val="00611F6D"/>
    <w:rsid w:val="00680621"/>
    <w:rsid w:val="006915C5"/>
    <w:rsid w:val="006B19A0"/>
    <w:rsid w:val="006D4E73"/>
    <w:rsid w:val="006D6C5B"/>
    <w:rsid w:val="006E328A"/>
    <w:rsid w:val="006E3E6E"/>
    <w:rsid w:val="006E4364"/>
    <w:rsid w:val="006E796F"/>
    <w:rsid w:val="006F5A57"/>
    <w:rsid w:val="00716089"/>
    <w:rsid w:val="00753E84"/>
    <w:rsid w:val="00762C79"/>
    <w:rsid w:val="007A298D"/>
    <w:rsid w:val="007A42C5"/>
    <w:rsid w:val="007C399D"/>
    <w:rsid w:val="008018D5"/>
    <w:rsid w:val="00805FC3"/>
    <w:rsid w:val="0082419F"/>
    <w:rsid w:val="00826FCC"/>
    <w:rsid w:val="00834188"/>
    <w:rsid w:val="00834639"/>
    <w:rsid w:val="00855A53"/>
    <w:rsid w:val="00885F8B"/>
    <w:rsid w:val="00892A7E"/>
    <w:rsid w:val="008D254C"/>
    <w:rsid w:val="008F1CEB"/>
    <w:rsid w:val="00920668"/>
    <w:rsid w:val="00920D75"/>
    <w:rsid w:val="00950E2D"/>
    <w:rsid w:val="009A0091"/>
    <w:rsid w:val="009A07BB"/>
    <w:rsid w:val="009C1C01"/>
    <w:rsid w:val="009C1F3A"/>
    <w:rsid w:val="009C4A03"/>
    <w:rsid w:val="009D161C"/>
    <w:rsid w:val="009E459F"/>
    <w:rsid w:val="00A04600"/>
    <w:rsid w:val="00A04FFB"/>
    <w:rsid w:val="00A222DE"/>
    <w:rsid w:val="00A45236"/>
    <w:rsid w:val="00A63B18"/>
    <w:rsid w:val="00A9399D"/>
    <w:rsid w:val="00AA2AF1"/>
    <w:rsid w:val="00B01555"/>
    <w:rsid w:val="00B01F4B"/>
    <w:rsid w:val="00B02361"/>
    <w:rsid w:val="00B13CC5"/>
    <w:rsid w:val="00B54059"/>
    <w:rsid w:val="00B65788"/>
    <w:rsid w:val="00B95521"/>
    <w:rsid w:val="00BC6885"/>
    <w:rsid w:val="00BF1EF8"/>
    <w:rsid w:val="00BF30D1"/>
    <w:rsid w:val="00BF3C60"/>
    <w:rsid w:val="00C514F9"/>
    <w:rsid w:val="00C603B4"/>
    <w:rsid w:val="00C81529"/>
    <w:rsid w:val="00C82779"/>
    <w:rsid w:val="00CA46D2"/>
    <w:rsid w:val="00D155DF"/>
    <w:rsid w:val="00D651D7"/>
    <w:rsid w:val="00D735B3"/>
    <w:rsid w:val="00D96598"/>
    <w:rsid w:val="00DC0D62"/>
    <w:rsid w:val="00DE24CA"/>
    <w:rsid w:val="00DF3079"/>
    <w:rsid w:val="00DF7876"/>
    <w:rsid w:val="00E0483C"/>
    <w:rsid w:val="00E164C6"/>
    <w:rsid w:val="00E219F1"/>
    <w:rsid w:val="00E27179"/>
    <w:rsid w:val="00E327EF"/>
    <w:rsid w:val="00E37803"/>
    <w:rsid w:val="00E378BD"/>
    <w:rsid w:val="00E40483"/>
    <w:rsid w:val="00E64B08"/>
    <w:rsid w:val="00E702D8"/>
    <w:rsid w:val="00E85FA6"/>
    <w:rsid w:val="00EB592E"/>
    <w:rsid w:val="00ED1ABB"/>
    <w:rsid w:val="00EE1AE1"/>
    <w:rsid w:val="00F055E2"/>
    <w:rsid w:val="00F12178"/>
    <w:rsid w:val="00F406B3"/>
    <w:rsid w:val="00F45737"/>
    <w:rsid w:val="00F57621"/>
    <w:rsid w:val="00F60AD4"/>
    <w:rsid w:val="00F75EEA"/>
    <w:rsid w:val="00F82C47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B794C-5B2D-49B2-928C-2B34D2A0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63D8-EE24-4364-8E6B-6E26BBB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6023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Monika Sołdatow-Trzewik</cp:lastModifiedBy>
  <cp:revision>9</cp:revision>
  <cp:lastPrinted>2021-12-07T09:21:00Z</cp:lastPrinted>
  <dcterms:created xsi:type="dcterms:W3CDTF">2021-12-03T09:50:00Z</dcterms:created>
  <dcterms:modified xsi:type="dcterms:W3CDTF">2021-12-07T12:31:00Z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