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ACA" w:rsidRPr="005D1F07" w:rsidRDefault="00686EC4" w:rsidP="005D1F07">
      <w:pPr>
        <w:jc w:val="right"/>
        <w:rPr>
          <w:rFonts w:ascii="Arial Narrow" w:hAnsi="Arial Narrow" w:cs="Calibri"/>
          <w:b/>
        </w:rPr>
      </w:pPr>
      <w:bookmarkStart w:id="0" w:name="_GoBack"/>
      <w:bookmarkEnd w:id="0"/>
      <w:r>
        <w:rPr>
          <w:rFonts w:ascii="Arial Narrow" w:hAnsi="Arial Narrow" w:cs="Calibri"/>
          <w:b/>
        </w:rPr>
        <w:t>Załącznik nr 3</w:t>
      </w:r>
      <w:r w:rsidR="005D1F07" w:rsidRPr="005D1F07">
        <w:rPr>
          <w:rFonts w:ascii="Arial Narrow" w:hAnsi="Arial Narrow" w:cs="Calibri"/>
          <w:b/>
        </w:rPr>
        <w:t xml:space="preserve"> do SIWZ</w:t>
      </w:r>
      <w:r>
        <w:rPr>
          <w:rFonts w:ascii="Arial Narrow" w:hAnsi="Arial Narrow" w:cs="Calibri"/>
          <w:b/>
        </w:rPr>
        <w:t xml:space="preserve"> cz. 2</w:t>
      </w:r>
    </w:p>
    <w:p w:rsidR="007D115D" w:rsidRDefault="007D115D" w:rsidP="00A46CD1">
      <w:pPr>
        <w:rPr>
          <w:rFonts w:ascii="Arial Narrow" w:hAnsi="Arial Narrow" w:cs="Calibri"/>
          <w:b/>
        </w:rPr>
      </w:pPr>
    </w:p>
    <w:p w:rsidR="007D115D" w:rsidRDefault="00181CC5" w:rsidP="007D115D">
      <w:pPr>
        <w:jc w:val="center"/>
        <w:rPr>
          <w:rFonts w:ascii="Verdana" w:eastAsia="Times New Roman" w:hAnsi="Verdana" w:cs="Tahoma"/>
          <w:b/>
          <w:sz w:val="18"/>
          <w:szCs w:val="18"/>
        </w:rPr>
      </w:pPr>
      <w:r w:rsidRPr="00181CC5">
        <w:rPr>
          <w:rFonts w:ascii="Verdana" w:eastAsia="Times New Roman" w:hAnsi="Verdana" w:cs="Tahoma"/>
          <w:b/>
          <w:sz w:val="18"/>
          <w:szCs w:val="18"/>
        </w:rPr>
        <w:t>Defibrylator 2 szt.</w:t>
      </w:r>
    </w:p>
    <w:p w:rsidR="007D115D" w:rsidRDefault="007D115D" w:rsidP="007D115D">
      <w:pPr>
        <w:jc w:val="center"/>
        <w:rPr>
          <w:rFonts w:ascii="Arial Narrow" w:hAnsi="Arial Narrow" w:cs="Calibri"/>
          <w:b/>
        </w:rPr>
      </w:pPr>
    </w:p>
    <w:p w:rsidR="007D115D" w:rsidRPr="002E4D99" w:rsidRDefault="007D115D" w:rsidP="007D115D">
      <w:pPr>
        <w:tabs>
          <w:tab w:val="right" w:leader="dot" w:pos="3686"/>
        </w:tabs>
        <w:spacing w:after="0" w:line="240" w:lineRule="auto"/>
        <w:rPr>
          <w:rFonts w:ascii="Verdana" w:eastAsia="Times New Roman" w:hAnsi="Verdana" w:cs="Tahoma"/>
          <w:sz w:val="18"/>
          <w:szCs w:val="18"/>
        </w:rPr>
      </w:pPr>
      <w:r w:rsidRPr="002E4D99">
        <w:rPr>
          <w:rFonts w:ascii="Verdana" w:eastAsia="Times New Roman" w:hAnsi="Verdana" w:cs="Tahoma"/>
          <w:sz w:val="18"/>
          <w:szCs w:val="18"/>
        </w:rPr>
        <w:t>Model/typ</w:t>
      </w:r>
      <w:r>
        <w:rPr>
          <w:rFonts w:ascii="Verdana" w:eastAsia="Times New Roman" w:hAnsi="Verdana" w:cs="Tahoma"/>
          <w:sz w:val="18"/>
          <w:szCs w:val="18"/>
        </w:rPr>
        <w:tab/>
      </w:r>
    </w:p>
    <w:p w:rsidR="007D115D" w:rsidRPr="002E4D99" w:rsidRDefault="007D115D" w:rsidP="007D115D">
      <w:pPr>
        <w:tabs>
          <w:tab w:val="left" w:pos="3686"/>
        </w:tabs>
        <w:spacing w:after="0" w:line="240" w:lineRule="auto"/>
        <w:ind w:left="426"/>
        <w:jc w:val="center"/>
        <w:rPr>
          <w:rFonts w:ascii="Verdana" w:eastAsia="Times New Roman" w:hAnsi="Verdana" w:cs="Tahoma"/>
          <w:sz w:val="18"/>
          <w:szCs w:val="18"/>
        </w:rPr>
      </w:pPr>
    </w:p>
    <w:p w:rsidR="007D115D" w:rsidRPr="002E4D99" w:rsidRDefault="007D115D" w:rsidP="007D115D">
      <w:pPr>
        <w:tabs>
          <w:tab w:val="left" w:leader="dot" w:pos="3686"/>
        </w:tabs>
        <w:spacing w:after="0" w:line="240" w:lineRule="auto"/>
        <w:rPr>
          <w:rFonts w:ascii="Verdana" w:eastAsia="Times New Roman" w:hAnsi="Verdana" w:cs="Tahoma"/>
          <w:sz w:val="18"/>
          <w:szCs w:val="18"/>
        </w:rPr>
      </w:pPr>
      <w:r w:rsidRPr="002E4D99">
        <w:rPr>
          <w:rFonts w:ascii="Verdana" w:eastAsia="Times New Roman" w:hAnsi="Verdana" w:cs="Tahoma"/>
          <w:sz w:val="18"/>
          <w:szCs w:val="18"/>
        </w:rPr>
        <w:t>Producent/kraj</w:t>
      </w:r>
      <w:r>
        <w:rPr>
          <w:rFonts w:ascii="Verdana" w:eastAsia="Times New Roman" w:hAnsi="Verdana" w:cs="Tahoma"/>
          <w:sz w:val="18"/>
          <w:szCs w:val="18"/>
        </w:rPr>
        <w:tab/>
      </w:r>
    </w:p>
    <w:p w:rsidR="007D115D" w:rsidRPr="002E4D99" w:rsidRDefault="007D115D" w:rsidP="007D115D">
      <w:pPr>
        <w:tabs>
          <w:tab w:val="left" w:leader="dot" w:pos="3686"/>
        </w:tabs>
        <w:spacing w:after="0" w:line="240" w:lineRule="auto"/>
        <w:ind w:left="426"/>
        <w:jc w:val="center"/>
        <w:rPr>
          <w:rFonts w:ascii="Verdana" w:eastAsia="Times New Roman" w:hAnsi="Verdana" w:cs="Tahoma"/>
          <w:sz w:val="18"/>
          <w:szCs w:val="18"/>
        </w:rPr>
      </w:pPr>
    </w:p>
    <w:p w:rsidR="007D115D" w:rsidRPr="002E4D99" w:rsidRDefault="007D115D" w:rsidP="007D115D">
      <w:pPr>
        <w:tabs>
          <w:tab w:val="left" w:leader="dot" w:pos="3686"/>
        </w:tabs>
        <w:spacing w:after="0" w:line="240" w:lineRule="auto"/>
        <w:rPr>
          <w:rFonts w:ascii="Verdana" w:eastAsia="Times New Roman" w:hAnsi="Verdana"/>
          <w:b/>
          <w:sz w:val="18"/>
          <w:szCs w:val="18"/>
        </w:rPr>
      </w:pPr>
      <w:r w:rsidRPr="002E4D99">
        <w:rPr>
          <w:rFonts w:ascii="Verdana" w:eastAsia="Times New Roman" w:hAnsi="Verdana"/>
          <w:sz w:val="18"/>
          <w:szCs w:val="18"/>
        </w:rPr>
        <w:t>Rok produkcji</w:t>
      </w:r>
      <w:r>
        <w:rPr>
          <w:rFonts w:ascii="Verdana" w:eastAsia="Times New Roman" w:hAnsi="Verdana"/>
          <w:sz w:val="18"/>
          <w:szCs w:val="18"/>
        </w:rPr>
        <w:tab/>
      </w:r>
    </w:p>
    <w:p w:rsidR="007D115D" w:rsidRDefault="007D115D" w:rsidP="007D115D">
      <w:pPr>
        <w:rPr>
          <w:rFonts w:ascii="Arial Narrow" w:hAnsi="Arial Narrow" w:cs="Calibri"/>
          <w:b/>
        </w:rPr>
      </w:pPr>
    </w:p>
    <w:p w:rsidR="007D115D" w:rsidRDefault="007D115D" w:rsidP="007D115D">
      <w:pPr>
        <w:rPr>
          <w:rFonts w:ascii="Arial Narrow" w:hAnsi="Arial Narrow" w:cs="Calibri"/>
          <w:b/>
        </w:rPr>
      </w:pPr>
    </w:p>
    <w:p w:rsidR="005D1F07" w:rsidRPr="005D1F07" w:rsidRDefault="005D1F07" w:rsidP="005D1F07">
      <w:pPr>
        <w:jc w:val="center"/>
        <w:rPr>
          <w:rFonts w:ascii="Arial Narrow" w:hAnsi="Arial Narrow" w:cs="Calibri"/>
          <w:b/>
        </w:rPr>
      </w:pPr>
      <w:r w:rsidRPr="005D1F07">
        <w:rPr>
          <w:rFonts w:ascii="Arial Narrow" w:hAnsi="Arial Narrow" w:cs="Calibri"/>
          <w:b/>
        </w:rPr>
        <w:t>PARAMETRY TECHNICZNE</w:t>
      </w:r>
    </w:p>
    <w:tbl>
      <w:tblPr>
        <w:tblW w:w="92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4896"/>
        <w:gridCol w:w="1471"/>
        <w:gridCol w:w="1656"/>
      </w:tblGrid>
      <w:tr w:rsidR="007D115D" w:rsidRPr="00B24A7E" w:rsidTr="009B1AA7">
        <w:trPr>
          <w:jc w:val="center"/>
        </w:trPr>
        <w:tc>
          <w:tcPr>
            <w:tcW w:w="6137" w:type="dxa"/>
            <w:gridSpan w:val="2"/>
            <w:shd w:val="clear" w:color="auto" w:fill="D0CECE"/>
            <w:vAlign w:val="center"/>
          </w:tcPr>
          <w:p w:rsidR="007D115D" w:rsidRPr="0017191C" w:rsidRDefault="007D115D" w:rsidP="007D115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SimSun" w:hAnsi="Verdana" w:cs="Arial"/>
                <w:kern w:val="3"/>
                <w:sz w:val="18"/>
                <w:szCs w:val="18"/>
                <w:lang w:eastAsia="hi-IN" w:bidi="hi-IN"/>
              </w:rPr>
            </w:pPr>
            <w:r w:rsidRPr="0017191C">
              <w:rPr>
                <w:rFonts w:ascii="Verdana" w:eastAsia="Times New Roman" w:hAnsi="Verdana"/>
                <w:b/>
                <w:bCs/>
                <w:kern w:val="3"/>
                <w:sz w:val="18"/>
                <w:szCs w:val="18"/>
                <w:lang w:eastAsia="hi-IN" w:bidi="hi-IN"/>
              </w:rPr>
              <w:t>Minimalne funkcje, parametry techniczne i warunki wymagane</w:t>
            </w:r>
          </w:p>
        </w:tc>
        <w:tc>
          <w:tcPr>
            <w:tcW w:w="1471" w:type="dxa"/>
            <w:shd w:val="clear" w:color="auto" w:fill="D0CECE"/>
          </w:tcPr>
          <w:p w:rsidR="007D115D" w:rsidRPr="00B24A7E" w:rsidRDefault="007D115D" w:rsidP="007D115D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B24A7E">
              <w:rPr>
                <w:rFonts w:cs="Calibri"/>
                <w:b/>
                <w:sz w:val="20"/>
                <w:szCs w:val="20"/>
              </w:rPr>
              <w:t xml:space="preserve">Wymagane parametry </w:t>
            </w:r>
            <w:r w:rsidRPr="00B24A7E">
              <w:rPr>
                <w:rFonts w:cs="Calibri"/>
                <w:b/>
                <w:sz w:val="20"/>
                <w:szCs w:val="20"/>
              </w:rPr>
              <w:br/>
              <w:t>i warunki konieczne:</w:t>
            </w:r>
          </w:p>
        </w:tc>
        <w:tc>
          <w:tcPr>
            <w:tcW w:w="1656" w:type="dxa"/>
            <w:shd w:val="clear" w:color="auto" w:fill="D0CECE"/>
          </w:tcPr>
          <w:p w:rsidR="007D115D" w:rsidRPr="00B24A7E" w:rsidRDefault="007D115D" w:rsidP="007D115D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Parametry i warunki zaoferowane przez Wykonawcę</w:t>
            </w: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right="-383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pl-PL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Urządzenie do monitorowania i defibrylacji</w:t>
            </w:r>
          </w:p>
        </w:tc>
        <w:tc>
          <w:tcPr>
            <w:tcW w:w="1471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Ekran kolorowy typu TFT o przekątnej minimum 7’’</w:t>
            </w:r>
          </w:p>
        </w:tc>
        <w:tc>
          <w:tcPr>
            <w:tcW w:w="1471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Możliwość wyświetlania na ekranie 3 krzywych dynamicznych.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Wyświetlanie wszystkich monitorowanych parametrów w formie cyfrowej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Dwufazowa fala defibrylacji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Defibrylacje ręczna w zakresie min. od 1 do 360 J</w:t>
            </w:r>
          </w:p>
        </w:tc>
        <w:tc>
          <w:tcPr>
            <w:tcW w:w="1471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Możliwość wykonania defibrylacji wewnętrznej</w:t>
            </w:r>
          </w:p>
        </w:tc>
        <w:tc>
          <w:tcPr>
            <w:tcW w:w="1471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Czas ładowania do energii maksymalnej 200J poniżej 3 sekund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Możliwość wyboru jednego spośród min. 20 poziomów energii defibrylacji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Defibrylacja półautomatyczna (AED) z systemem doradczym w języku polskim zgodny z aktualnymi wytycznymi ERC/AHA z 2015 roku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Energia defibrylacji w trybie AED  min. od 10 do 360 J</w:t>
            </w:r>
          </w:p>
        </w:tc>
        <w:tc>
          <w:tcPr>
            <w:tcW w:w="1471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W trybie AED - programowane przez użytkownika wartości energii dla 1, 2 i 3 defibrylacji z energią od 10 do 360J</w:t>
            </w:r>
          </w:p>
        </w:tc>
        <w:tc>
          <w:tcPr>
            <w:tcW w:w="1471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Możliwość wykonania defibrylacji w trybie AED za pomocą elektrod jednorazowych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Dźwiękowe i tekstowe komunikaty w języku polskim prowadzące  użytkownika przez proces defibrylacji półautomatycznej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Wydzielony na defibrylatorze przycisk rozładowania energii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Ustawianie energii defibrylacji, ładowania i wstrząsu na łyżkach </w:t>
            </w:r>
            <w:proofErr w:type="spellStart"/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defibrylacyjnych</w:t>
            </w:r>
            <w:proofErr w:type="spellEnd"/>
          </w:p>
        </w:tc>
        <w:tc>
          <w:tcPr>
            <w:tcW w:w="1471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color w:val="FF0000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Wskaźnik impedancji kontaktu elektrod z ciałem pacjenta na ekranie defibrylatora</w:t>
            </w:r>
          </w:p>
        </w:tc>
        <w:tc>
          <w:tcPr>
            <w:tcW w:w="1471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Możliwość wykonania kardiowersji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vMerge w:val="restart"/>
            <w:shd w:val="clear" w:color="auto" w:fill="auto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Monitorowanie EKG min. z 3/7 </w:t>
            </w:r>
            <w:proofErr w:type="spellStart"/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odprowadzeń</w:t>
            </w:r>
            <w:proofErr w:type="spellEnd"/>
          </w:p>
        </w:tc>
        <w:tc>
          <w:tcPr>
            <w:tcW w:w="1471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a. Zakres pomiaru częstości akcji serca w zakresie od 15-350 B/min.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b.  Wzmocnienie sygnału: x0,25; x0,5; x1; x2; x4; Auto</w:t>
            </w:r>
          </w:p>
        </w:tc>
        <w:tc>
          <w:tcPr>
            <w:tcW w:w="1471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vMerge w:val="restart"/>
            <w:shd w:val="clear" w:color="auto" w:fill="auto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Stymulacja zewnętrzna nieinwazyjna</w:t>
            </w:r>
          </w:p>
        </w:tc>
        <w:tc>
          <w:tcPr>
            <w:tcW w:w="1471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a. tryby stymulacji: sztywny i na żądanie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b. natężenie prądu stymulacji w zakresie min. od 1 do 200 </w:t>
            </w:r>
            <w:proofErr w:type="spellStart"/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mA</w:t>
            </w:r>
            <w:proofErr w:type="spellEnd"/>
          </w:p>
        </w:tc>
        <w:tc>
          <w:tcPr>
            <w:tcW w:w="1471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c. zakres częstości stymulacji w zakresie min. od 30 do 210 </w:t>
            </w:r>
            <w:proofErr w:type="spellStart"/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imp</w:t>
            </w:r>
            <w:proofErr w:type="spellEnd"/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/min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vMerge w:val="restart"/>
            <w:shd w:val="clear" w:color="auto" w:fill="auto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Pomiar saturacji za pomocą czujnika na palec dla dorosłych</w:t>
            </w:r>
          </w:p>
        </w:tc>
        <w:tc>
          <w:tcPr>
            <w:tcW w:w="1471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vMerge/>
            <w:shd w:val="clear" w:color="auto" w:fill="auto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a. Prezentacja wartości saturacji oraz krzywej </w:t>
            </w:r>
            <w:proofErr w:type="spellStart"/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pletyzmograficznej</w:t>
            </w:r>
            <w:proofErr w:type="spellEnd"/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na ekranie</w:t>
            </w:r>
          </w:p>
        </w:tc>
        <w:tc>
          <w:tcPr>
            <w:tcW w:w="1471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Pomiar nieinwazyjnego ciśnienia krwi (NIBP): metoda pomiaru oscylometryczna, zakres pomiaru od 10-290 mmHg, pomiar ręczny i automatyczny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Ręczne i automatyczne ustawianie granic alarmowych wszystkich monitorowanych parametrów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Wbudowana drukarka termiczna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Papier do drukarki o szerokości min. 50 mm (dołączyć 10 rolek)</w:t>
            </w:r>
          </w:p>
        </w:tc>
        <w:tc>
          <w:tcPr>
            <w:tcW w:w="1471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Możliwość wydruku w czasie rzeczywistym min. 3 krzywych</w:t>
            </w:r>
          </w:p>
        </w:tc>
        <w:tc>
          <w:tcPr>
            <w:tcW w:w="1471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Archiwizacja danych: min. 100 pacjentów, min. 72 godzinne trendy, 24 godz. ciągły zapis EKG</w:t>
            </w:r>
          </w:p>
        </w:tc>
        <w:tc>
          <w:tcPr>
            <w:tcW w:w="1471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Eksport danych za pomocą pamięci typu Pendrive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Możliwość rozbudowy o transmisję bezprzewodową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Możliwość rozbudowy o czujnik monitorowania jakości uciśnięć z wyświetlaniem krzywej głębokości uciśnięć na ekranie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Ładowanie akumulatora od 0 do 100 % pojemności w czasie do 4 godzin</w:t>
            </w:r>
          </w:p>
        </w:tc>
        <w:tc>
          <w:tcPr>
            <w:tcW w:w="1471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Urządzenie wyposażone w uniwersalne łyżki </w:t>
            </w:r>
            <w:proofErr w:type="spellStart"/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defibrylacyjne</w:t>
            </w:r>
            <w:proofErr w:type="spellEnd"/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dla dorosłych i dzieci</w:t>
            </w:r>
          </w:p>
        </w:tc>
        <w:tc>
          <w:tcPr>
            <w:tcW w:w="1471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Akumulator </w:t>
            </w:r>
            <w:proofErr w:type="spellStart"/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litowo</w:t>
            </w:r>
            <w:proofErr w:type="spellEnd"/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-jonowy bez efektu pamięci z możliwością wymiany bez użycia dodatkowych narzędzi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Czas pracy na bateriach dla urządzenia min. 360 minut monitorowania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Zasilanie i ładowanie akumulatorów bezpośrednio z sieci napięcia zmiennego 230 V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Możliwość wykonania min. 300 defibrylacji z energią 200J na w pełni naładowanych akumulatorach</w:t>
            </w:r>
          </w:p>
        </w:tc>
        <w:tc>
          <w:tcPr>
            <w:tcW w:w="1471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Programowanie automatycznie codziennie wykonywanego testów bez włączenia defibrylatora przy zamontowanych akumulatorach i podłączeniu do sieci elektrycznej (pełny test)</w:t>
            </w:r>
          </w:p>
        </w:tc>
        <w:tc>
          <w:tcPr>
            <w:tcW w:w="1471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Uchwyt na ramę łóżka</w:t>
            </w:r>
          </w:p>
        </w:tc>
        <w:tc>
          <w:tcPr>
            <w:tcW w:w="1471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1CC5" w:rsidRPr="004B419C" w:rsidTr="00887B0D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181CC5" w:rsidRPr="004B419C" w:rsidRDefault="00181CC5" w:rsidP="004B419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center"/>
          </w:tcPr>
          <w:p w:rsidR="00181CC5" w:rsidRPr="004B419C" w:rsidRDefault="00181CC5" w:rsidP="004B419C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color w:val="000000"/>
                <w:sz w:val="20"/>
                <w:szCs w:val="20"/>
              </w:rPr>
              <w:t>Masa defibrylatora z akumulatorem i łyżkami max. 6,5 kg</w:t>
            </w:r>
          </w:p>
        </w:tc>
        <w:tc>
          <w:tcPr>
            <w:tcW w:w="1471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4B419C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181CC5" w:rsidRPr="004B419C" w:rsidRDefault="00181CC5" w:rsidP="004B419C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EA2FBC" w:rsidRPr="004B419C" w:rsidRDefault="00EA2FBC" w:rsidP="004B419C">
      <w:pPr>
        <w:rPr>
          <w:rFonts w:ascii="Arial Narrow" w:hAnsi="Arial Narrow"/>
          <w:sz w:val="20"/>
          <w:szCs w:val="20"/>
        </w:rPr>
      </w:pPr>
    </w:p>
    <w:sectPr w:rsidR="00EA2FBC" w:rsidRPr="004B419C" w:rsidSect="00E0680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9A5" w:rsidRDefault="00F439A5" w:rsidP="005D1F07">
      <w:pPr>
        <w:spacing w:after="0" w:line="240" w:lineRule="auto"/>
      </w:pPr>
      <w:r>
        <w:separator/>
      </w:r>
    </w:p>
  </w:endnote>
  <w:endnote w:type="continuationSeparator" w:id="0">
    <w:p w:rsidR="00F439A5" w:rsidRDefault="00F439A5" w:rsidP="005D1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6805" w:rsidRDefault="00E0680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686EC4">
      <w:rPr>
        <w:noProof/>
      </w:rPr>
      <w:t>3</w:t>
    </w:r>
    <w:r>
      <w:fldChar w:fldCharType="end"/>
    </w:r>
  </w:p>
  <w:p w:rsidR="00E06805" w:rsidRDefault="00E068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9A5" w:rsidRDefault="00F439A5" w:rsidP="005D1F07">
      <w:pPr>
        <w:spacing w:after="0" w:line="240" w:lineRule="auto"/>
      </w:pPr>
      <w:r>
        <w:separator/>
      </w:r>
    </w:p>
  </w:footnote>
  <w:footnote w:type="continuationSeparator" w:id="0">
    <w:p w:rsidR="00F439A5" w:rsidRDefault="00F439A5" w:rsidP="005D1F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CD1" w:rsidRDefault="009B1AA7" w:rsidP="00A46CD1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drawing>
        <wp:inline distT="0" distB="0" distL="0" distR="0">
          <wp:extent cx="5753100" cy="647700"/>
          <wp:effectExtent l="0" t="0" r="0" b="0"/>
          <wp:docPr id="1" name="Obraz 1" descr="bel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elka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46CD1" w:rsidRDefault="00A46CD1" w:rsidP="00A46CD1">
    <w:pPr>
      <w:pStyle w:val="Nagwek"/>
      <w:jc w:val="center"/>
      <w:rPr>
        <w:b/>
        <w:color w:val="000000"/>
        <w:sz w:val="18"/>
        <w:szCs w:val="18"/>
      </w:rPr>
    </w:pPr>
    <w:r w:rsidRPr="009642AB">
      <w:rPr>
        <w:b/>
        <w:color w:val="000000"/>
        <w:sz w:val="18"/>
        <w:szCs w:val="18"/>
      </w:rPr>
      <w:t>"Techniki pozaustrojowego wspomagania funkcji życiowych z wykorzystaniem ECMO"</w:t>
    </w:r>
  </w:p>
  <w:p w:rsidR="00A46CD1" w:rsidRDefault="00A46CD1" w:rsidP="00A46CD1">
    <w:pPr>
      <w:pStyle w:val="Nagwek"/>
      <w:jc w:val="center"/>
      <w:rPr>
        <w:noProof/>
        <w:lang w:eastAsia="pl-PL"/>
      </w:rPr>
    </w:pPr>
    <w:r w:rsidRPr="00AE163B">
      <w:rPr>
        <w:b/>
        <w:color w:val="000000"/>
        <w:sz w:val="18"/>
        <w:szCs w:val="18"/>
      </w:rPr>
      <w:t xml:space="preserve">współfinansowany ze środków Unii Europejskiej </w:t>
    </w:r>
    <w:r w:rsidRPr="00AE163B">
      <w:rPr>
        <w:b/>
        <w:color w:val="000000"/>
        <w:sz w:val="18"/>
        <w:szCs w:val="18"/>
      </w:rPr>
      <w:br/>
      <w:t xml:space="preserve">w ramach Europejskiego Funduszu Społecznego i wdrażany w ramach Programu Operacyjnego Wiedza Edukacja Rozwój 2014-2020, </w:t>
    </w:r>
    <w:r w:rsidRPr="00AE163B">
      <w:rPr>
        <w:b/>
        <w:color w:val="000000"/>
        <w:sz w:val="18"/>
        <w:szCs w:val="18"/>
      </w:rPr>
      <w:br/>
      <w:t xml:space="preserve">zgodnie z umową o dofinansowanie nr </w:t>
    </w:r>
    <w:r>
      <w:rPr>
        <w:b/>
        <w:color w:val="000000"/>
        <w:sz w:val="18"/>
        <w:szCs w:val="18"/>
      </w:rPr>
      <w:t>POWR.05.04.00-</w:t>
    </w:r>
    <w:r w:rsidR="00686EC4">
      <w:rPr>
        <w:b/>
        <w:color w:val="000000"/>
        <w:sz w:val="18"/>
        <w:szCs w:val="18"/>
      </w:rPr>
      <w:t>00-</w:t>
    </w:r>
    <w:r>
      <w:rPr>
        <w:b/>
        <w:color w:val="000000"/>
        <w:sz w:val="18"/>
        <w:szCs w:val="18"/>
      </w:rPr>
      <w:t>0160/18</w:t>
    </w:r>
    <w:r w:rsidR="00686EC4">
      <w:rPr>
        <w:b/>
        <w:color w:val="000000"/>
        <w:sz w:val="18"/>
        <w:szCs w:val="18"/>
      </w:rPr>
      <w:t>-00</w:t>
    </w:r>
  </w:p>
  <w:p w:rsidR="005D1F07" w:rsidRDefault="005D1F0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95EBA"/>
    <w:multiLevelType w:val="hybridMultilevel"/>
    <w:tmpl w:val="BD3C2F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76EEB"/>
    <w:multiLevelType w:val="hybridMultilevel"/>
    <w:tmpl w:val="1228D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F280E"/>
    <w:multiLevelType w:val="hybridMultilevel"/>
    <w:tmpl w:val="5F280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74ACE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2131FE0"/>
    <w:multiLevelType w:val="hybridMultilevel"/>
    <w:tmpl w:val="3BAA5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F484F"/>
    <w:multiLevelType w:val="hybridMultilevel"/>
    <w:tmpl w:val="A156FB16"/>
    <w:lvl w:ilvl="0" w:tplc="E738E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35620"/>
    <w:multiLevelType w:val="hybridMultilevel"/>
    <w:tmpl w:val="BCEAFBD0"/>
    <w:lvl w:ilvl="0" w:tplc="FB407CE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7" w15:restartNumberingAfterBreak="0">
    <w:nsid w:val="1C4071BB"/>
    <w:multiLevelType w:val="hybridMultilevel"/>
    <w:tmpl w:val="E9C48C90"/>
    <w:lvl w:ilvl="0" w:tplc="E738E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0A3A91"/>
    <w:multiLevelType w:val="hybridMultilevel"/>
    <w:tmpl w:val="5F280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D3430"/>
    <w:multiLevelType w:val="hybridMultilevel"/>
    <w:tmpl w:val="3C5AD5E0"/>
    <w:lvl w:ilvl="0" w:tplc="6FF46B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0"/>
        <w:szCs w:val="20"/>
      </w:rPr>
    </w:lvl>
    <w:lvl w:ilvl="1" w:tplc="D3504F24">
      <w:start w:val="1"/>
      <w:numFmt w:val="bullet"/>
      <w:lvlText w:val="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:sz w:val="20"/>
        <w:szCs w:val="20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</w:abstractNum>
  <w:abstractNum w:abstractNumId="10" w15:restartNumberingAfterBreak="0">
    <w:nsid w:val="2FC1345A"/>
    <w:multiLevelType w:val="hybridMultilevel"/>
    <w:tmpl w:val="3BAA5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7B048A"/>
    <w:multiLevelType w:val="hybridMultilevel"/>
    <w:tmpl w:val="98B86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845A42"/>
    <w:multiLevelType w:val="hybridMultilevel"/>
    <w:tmpl w:val="B81C8D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D35558"/>
    <w:multiLevelType w:val="hybridMultilevel"/>
    <w:tmpl w:val="C816A1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B665B84"/>
    <w:multiLevelType w:val="hybridMultilevel"/>
    <w:tmpl w:val="1EEE0502"/>
    <w:lvl w:ilvl="0" w:tplc="E738E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4A6F2C"/>
    <w:multiLevelType w:val="hybridMultilevel"/>
    <w:tmpl w:val="2728781E"/>
    <w:lvl w:ilvl="0" w:tplc="4FF03EBC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  <w:rPr>
        <w:rFonts w:ascii="Calibri" w:eastAsia="Times New Roman" w:hAnsi="Calibri" w:cs="Calibri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151"/>
        </w:tabs>
        <w:ind w:left="115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1"/>
        </w:tabs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1"/>
        </w:tabs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1"/>
        </w:tabs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1"/>
        </w:tabs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1"/>
        </w:tabs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1"/>
        </w:tabs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1"/>
        </w:tabs>
        <w:ind w:left="6191" w:hanging="180"/>
      </w:pPr>
    </w:lvl>
  </w:abstractNum>
  <w:abstractNum w:abstractNumId="16" w15:restartNumberingAfterBreak="0">
    <w:nsid w:val="53326C2C"/>
    <w:multiLevelType w:val="hybridMultilevel"/>
    <w:tmpl w:val="F54E7C9C"/>
    <w:lvl w:ilvl="0" w:tplc="CF2C844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D463B"/>
    <w:multiLevelType w:val="hybridMultilevel"/>
    <w:tmpl w:val="371EE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2B64B1"/>
    <w:multiLevelType w:val="hybridMultilevel"/>
    <w:tmpl w:val="2FB234EE"/>
    <w:lvl w:ilvl="0" w:tplc="E738E710">
      <w:start w:val="1"/>
      <w:numFmt w:val="bullet"/>
      <w:lvlText w:val=""/>
      <w:lvlJc w:val="left"/>
      <w:pPr>
        <w:ind w:left="1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9" w15:restartNumberingAfterBreak="0">
    <w:nsid w:val="6B212AA5"/>
    <w:multiLevelType w:val="hybridMultilevel"/>
    <w:tmpl w:val="7B90C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3E590D"/>
    <w:multiLevelType w:val="hybridMultilevel"/>
    <w:tmpl w:val="01FC93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7E287E"/>
    <w:multiLevelType w:val="hybridMultilevel"/>
    <w:tmpl w:val="549E8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96788C"/>
    <w:multiLevelType w:val="hybridMultilevel"/>
    <w:tmpl w:val="646869FE"/>
    <w:lvl w:ilvl="0" w:tplc="B852B5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A74C73"/>
    <w:multiLevelType w:val="hybridMultilevel"/>
    <w:tmpl w:val="564E4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CD5322"/>
    <w:multiLevelType w:val="multilevel"/>
    <w:tmpl w:val="F7D089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5" w15:restartNumberingAfterBreak="0">
    <w:nsid w:val="749D7CB1"/>
    <w:multiLevelType w:val="hybridMultilevel"/>
    <w:tmpl w:val="9E268718"/>
    <w:lvl w:ilvl="0" w:tplc="233035A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26" w15:restartNumberingAfterBreak="0">
    <w:nsid w:val="767D763D"/>
    <w:multiLevelType w:val="hybridMultilevel"/>
    <w:tmpl w:val="90C08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942F79"/>
    <w:multiLevelType w:val="hybridMultilevel"/>
    <w:tmpl w:val="F0E06F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E02C65"/>
    <w:multiLevelType w:val="hybridMultilevel"/>
    <w:tmpl w:val="1988E6A4"/>
    <w:lvl w:ilvl="0" w:tplc="B92073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29" w15:restartNumberingAfterBreak="0">
    <w:nsid w:val="7F066A7D"/>
    <w:multiLevelType w:val="hybridMultilevel"/>
    <w:tmpl w:val="31A87A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"/>
  </w:num>
  <w:num w:numId="3">
    <w:abstractNumId w:val="17"/>
  </w:num>
  <w:num w:numId="4">
    <w:abstractNumId w:val="12"/>
  </w:num>
  <w:num w:numId="5">
    <w:abstractNumId w:val="27"/>
  </w:num>
  <w:num w:numId="6">
    <w:abstractNumId w:val="19"/>
  </w:num>
  <w:num w:numId="7">
    <w:abstractNumId w:val="10"/>
  </w:num>
  <w:num w:numId="8">
    <w:abstractNumId w:val="4"/>
  </w:num>
  <w:num w:numId="9">
    <w:abstractNumId w:val="0"/>
  </w:num>
  <w:num w:numId="10">
    <w:abstractNumId w:val="26"/>
  </w:num>
  <w:num w:numId="11">
    <w:abstractNumId w:val="13"/>
  </w:num>
  <w:num w:numId="12">
    <w:abstractNumId w:val="23"/>
  </w:num>
  <w:num w:numId="13">
    <w:abstractNumId w:val="29"/>
  </w:num>
  <w:num w:numId="14">
    <w:abstractNumId w:val="2"/>
  </w:num>
  <w:num w:numId="15">
    <w:abstractNumId w:val="9"/>
  </w:num>
  <w:num w:numId="16">
    <w:abstractNumId w:val="28"/>
  </w:num>
  <w:num w:numId="17">
    <w:abstractNumId w:val="6"/>
  </w:num>
  <w:num w:numId="18">
    <w:abstractNumId w:val="25"/>
  </w:num>
  <w:num w:numId="19">
    <w:abstractNumId w:val="11"/>
  </w:num>
  <w:num w:numId="20">
    <w:abstractNumId w:val="7"/>
  </w:num>
  <w:num w:numId="21">
    <w:abstractNumId w:val="20"/>
  </w:num>
  <w:num w:numId="22">
    <w:abstractNumId w:val="14"/>
  </w:num>
  <w:num w:numId="23">
    <w:abstractNumId w:val="8"/>
  </w:num>
  <w:num w:numId="24">
    <w:abstractNumId w:val="15"/>
  </w:num>
  <w:num w:numId="25">
    <w:abstractNumId w:val="24"/>
  </w:num>
  <w:num w:numId="26">
    <w:abstractNumId w:val="5"/>
  </w:num>
  <w:num w:numId="27">
    <w:abstractNumId w:val="18"/>
  </w:num>
  <w:num w:numId="28">
    <w:abstractNumId w:val="22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readOnly" w:formatting="1" w:enforcement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ACA"/>
    <w:rsid w:val="000617AD"/>
    <w:rsid w:val="00107ACA"/>
    <w:rsid w:val="00181CC5"/>
    <w:rsid w:val="001E766E"/>
    <w:rsid w:val="0030376F"/>
    <w:rsid w:val="003554D9"/>
    <w:rsid w:val="003D0924"/>
    <w:rsid w:val="00436E0C"/>
    <w:rsid w:val="004566A1"/>
    <w:rsid w:val="004B419C"/>
    <w:rsid w:val="005307B3"/>
    <w:rsid w:val="005D1F07"/>
    <w:rsid w:val="005E2B99"/>
    <w:rsid w:val="005F563D"/>
    <w:rsid w:val="00681838"/>
    <w:rsid w:val="00686EC4"/>
    <w:rsid w:val="006C3D53"/>
    <w:rsid w:val="007D115D"/>
    <w:rsid w:val="008420BD"/>
    <w:rsid w:val="009B1AA7"/>
    <w:rsid w:val="009F348E"/>
    <w:rsid w:val="00A46CD1"/>
    <w:rsid w:val="00B00D87"/>
    <w:rsid w:val="00E06805"/>
    <w:rsid w:val="00EA2FBC"/>
    <w:rsid w:val="00ED7AE4"/>
    <w:rsid w:val="00EE47EF"/>
    <w:rsid w:val="00F4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63D797E5-D7A0-4EDD-A9A6-61C4329A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7AC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07A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liczkreska">
    <w:name w:val="Wylicz_kreska"/>
    <w:basedOn w:val="Normalny"/>
    <w:rsid w:val="00107ACA"/>
    <w:pPr>
      <w:suppressAutoHyphens/>
      <w:spacing w:after="0" w:line="360" w:lineRule="auto"/>
      <w:ind w:left="720" w:hanging="18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WW-Zwykytekst">
    <w:name w:val="WW-Zwykły tekst"/>
    <w:basedOn w:val="Normalny"/>
    <w:rsid w:val="00107ACA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paragraph" w:customStyle="1" w:styleId="Tekstcofnity">
    <w:name w:val="Tekst_cofnięty"/>
    <w:basedOn w:val="Normalny"/>
    <w:rsid w:val="00107ACA"/>
    <w:pPr>
      <w:suppressAutoHyphens/>
      <w:spacing w:after="0" w:line="360" w:lineRule="auto"/>
      <w:ind w:left="5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WW-Tekstpodstawowy2">
    <w:name w:val="WW-Tekst podstawowy 2"/>
    <w:basedOn w:val="Normalny"/>
    <w:rsid w:val="00107ACA"/>
    <w:pPr>
      <w:suppressAutoHyphens/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07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107AC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07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107AC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7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07ACA"/>
    <w:rPr>
      <w:rFonts w:ascii="Segoe UI" w:eastAsia="Calibr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A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07ACA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107ACA"/>
    <w:rPr>
      <w:rFonts w:ascii="Calibri" w:eastAsia="Calibri" w:hAnsi="Calibri" w:cs="Times New Roman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ACA"/>
    <w:rPr>
      <w:b/>
      <w:bCs/>
    </w:rPr>
  </w:style>
  <w:style w:type="paragraph" w:customStyle="1" w:styleId="tekstcofnity0">
    <w:name w:val="tekstcofnity"/>
    <w:basedOn w:val="Normalny"/>
    <w:rsid w:val="00107ACA"/>
    <w:pPr>
      <w:suppressAutoHyphens/>
      <w:spacing w:after="0" w:line="360" w:lineRule="auto"/>
      <w:ind w:left="54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9">
    <w:name w:val="Font Style59"/>
    <w:rsid w:val="00107ACA"/>
    <w:rPr>
      <w:rFonts w:ascii="Tahoma" w:hAnsi="Tahoma" w:cs="Tahoma"/>
      <w:sz w:val="16"/>
      <w:szCs w:val="16"/>
    </w:rPr>
  </w:style>
  <w:style w:type="paragraph" w:customStyle="1" w:styleId="Style26">
    <w:name w:val="Style26"/>
    <w:basedOn w:val="Normalny"/>
    <w:rsid w:val="00107ACA"/>
    <w:pPr>
      <w:widowControl w:val="0"/>
      <w:autoSpaceDE w:val="0"/>
      <w:autoSpaceDN w:val="0"/>
      <w:adjustRightInd w:val="0"/>
      <w:spacing w:after="0" w:line="216" w:lineRule="exact"/>
    </w:pPr>
    <w:rPr>
      <w:rFonts w:ascii="Garamond" w:eastAsia="Times New Roman" w:hAnsi="Garamond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81C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3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387A7-097C-434B-8A74-E4866D48B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533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Barbara Głowacka</cp:lastModifiedBy>
  <cp:revision>5</cp:revision>
  <cp:lastPrinted>2019-02-19T09:17:00Z</cp:lastPrinted>
  <dcterms:created xsi:type="dcterms:W3CDTF">2019-01-28T11:24:00Z</dcterms:created>
  <dcterms:modified xsi:type="dcterms:W3CDTF">2019-02-19T09:17:00Z</dcterms:modified>
</cp:coreProperties>
</file>