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7D115D" w:rsidP="005D1F07">
      <w:pPr>
        <w:jc w:val="right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Załącznik nr </w:t>
      </w:r>
      <w:r w:rsidR="002F6154">
        <w:rPr>
          <w:rFonts w:ascii="Arial Narrow" w:hAnsi="Arial Narrow" w:cs="Calibri"/>
          <w:b/>
        </w:rPr>
        <w:t>3</w:t>
      </w:r>
      <w:r w:rsidR="005D1F07" w:rsidRPr="005D1F07">
        <w:rPr>
          <w:rFonts w:ascii="Arial Narrow" w:hAnsi="Arial Narrow" w:cs="Calibri"/>
          <w:b/>
        </w:rPr>
        <w:t xml:space="preserve"> do SIWZ</w:t>
      </w:r>
      <w:r w:rsidR="002F6154">
        <w:rPr>
          <w:rFonts w:ascii="Arial Narrow" w:hAnsi="Arial Narrow" w:cs="Calibri"/>
          <w:b/>
        </w:rPr>
        <w:t xml:space="preserve"> cz. 3</w:t>
      </w:r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7D115D" w:rsidRDefault="00D42B8B" w:rsidP="007D115D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 w:rsidRPr="00D42B8B">
        <w:rPr>
          <w:rFonts w:ascii="Verdana" w:eastAsia="Times New Roman" w:hAnsi="Verdana" w:cs="Tahoma"/>
          <w:b/>
          <w:sz w:val="18"/>
          <w:szCs w:val="18"/>
        </w:rPr>
        <w:t>Pompa infuzyjna strzykawkowa 2 szt.</w:t>
      </w:r>
    </w:p>
    <w:p w:rsidR="00D42B8B" w:rsidRDefault="00D42B8B" w:rsidP="007D115D">
      <w:pPr>
        <w:jc w:val="center"/>
        <w:rPr>
          <w:rFonts w:ascii="Arial Narrow" w:hAnsi="Arial Narrow" w:cs="Calibri"/>
          <w:b/>
        </w:rPr>
      </w:pPr>
    </w:p>
    <w:p w:rsidR="007D115D" w:rsidRPr="002E4D99" w:rsidRDefault="007D115D" w:rsidP="007D115D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5D1F07" w:rsidRPr="005D1F07" w:rsidRDefault="005D1F07" w:rsidP="005D1F07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  <w:bookmarkStart w:id="0" w:name="_GoBack"/>
      <w:bookmarkEnd w:id="0"/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571985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571985" w:rsidRDefault="007D115D" w:rsidP="0057198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"/>
                <w:kern w:val="3"/>
                <w:sz w:val="20"/>
                <w:szCs w:val="20"/>
                <w:lang w:eastAsia="hi-IN" w:bidi="hi-IN"/>
              </w:rPr>
            </w:pPr>
            <w:r w:rsidRPr="00571985">
              <w:rPr>
                <w:rFonts w:ascii="Arial Narrow" w:eastAsia="Times New Roman" w:hAnsi="Arial Narrow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571985" w:rsidRDefault="007D115D" w:rsidP="00571985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b/>
                <w:sz w:val="20"/>
                <w:szCs w:val="20"/>
              </w:rPr>
              <w:t xml:space="preserve">Wymagane parametry </w:t>
            </w:r>
            <w:r w:rsidRPr="00571985">
              <w:rPr>
                <w:rFonts w:ascii="Arial Narrow" w:hAnsi="Arial Narrow"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571985" w:rsidRDefault="007D115D" w:rsidP="00571985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-38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pl-PL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Pompa infuzyjna strzykawkowa sterowana elektronicznie umożliwiająca współpracę z systemem centralnego zasilania 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Zasilanie 230V 50 Hz, bezpośrednio z sieci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Masa pompy do 2,30 kg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Wymiary pompy z uchwytem mocującym 290 x 98 x 220 mm (+/- 2 mm)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Stopień ochrony IP34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Kolorowy wyświetlacz czytelny pod kątem 80 stopni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Wbudowany uchwyt do mocowania pompy do stojaków infuzyjnych, oraz szyn poziomych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Wbudowany uchwyt do przenoszenia pompy.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Możliwość łączenia pomp w moduły bez użycia stacji dokującej - 3 pompy na jednym uchwycie.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Strzykawka mocowana od przodu. Dołączyć jednorazowy kompatybilny z pompą zestaw ze strzykawką 40 szt.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Klawiatura symboliczna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Menu pompy w języku polskim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Instrukcja obsługi </w:t>
            </w:r>
            <w:r w:rsidR="00571985"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zaimplementowana</w:t>
            </w: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menu pompy, ułatwiająca pracę na każdym etapie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Napęd strzykawki półautomatyczny z zabezpieczeniem przed niekontrolowaną podażą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Strzykawka nie może być usunięta z pompy poprzez pociągnięcie za linię infuzyjną podłączoną do strzykawki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Zatrzaskowe mocowanie i współpraca ze stacją dokującą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Komunikacja pomiędzy pompą a stacja dokującą odbywa się za pośrednictwem IrDA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Pompa skalibrowana do pracy ze strzykawkami o objętości 2/3, 5, 10, 20, 30 i 50/60 ml różnych typów oraz różnych producentów, w tym minimum jednego polskiego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Automatyczne rozpoznawanie objętości strzykawki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Zakres prędkości infuzji min. 0,01 do 999,9 ml/h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Prędkość infuzji w zakresie od 0,01 - 999,99ml/h programowana co 0,01ml/godz. 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Automatyczna kalkulacja prędkości podaży po wprowadzeniu objętości i czasu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Możliwość programowania parametrów infuzji w mg, mcg, ng, IE, mmol, lub mEq ,z uwzględnieniem lub nie masy ciała w odniesieniu do czasu ( np. mg/kg/min; mg/kg/h; mg/kg/24h)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Zmiana prędkości podaży bez przerywania infuzji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System automatycznej redukcji bolusa po alarmie ciśnienia okluzji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Wstępnie wybierana objętość w zakresie 0,10 - 9999 ml programowana co 0,01 ml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Wstępnie wybierany czas w zakresie 00h01min - 99h59min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Prędkość bolusa 1-1800 ml/h programowana co 0,01 ml/h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Bolus na żądanie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Bolus programowany z automatyczną kulkulacją prędkości po wprowadzeniu objętości i czasu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podaży bolusa w jednostkach mg, mcg, mmol, mEq oraz jednostkach wagowych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Stryb stand-by w zakresie od 1 min do 24 godzin z programowaniem co 1 minutę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Tryb nocny z redukcją intensywności podświetlenia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Tryb nocny z możliwość włączenia ręcznego lub zaprogramowania automatycznego przełączania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wprowadzenia do pompy biblioteki leków bezpośrednio z komputera, lub zdalnie poprzez sieć szpitalną z centralnego serwera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Biblioteka zawiera do 3000 leków, z możliwością podzielenia na 30 kategorii i 15 profili pacjentów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Każdy lek może być powiązany z limitami miękkimi, z limitami twardymi, </w:t>
            </w:r>
            <w:r w:rsidR="00571985"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jednym</w:t>
            </w: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z 8 kolorów oraz ciśnieniem okluzji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Nazwa leku stale widoczna na wyświetlaczu pompy, również po </w:t>
            </w:r>
            <w:r w:rsidR="00571985"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wystąpieniu</w:t>
            </w: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dowolnego alarmu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Ciśnienie okluzji możliwe do ustawienia na 9 poziomach w zakresie od 0.1 bara do 1.2 bara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571985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Wskaźnik</w:t>
            </w:r>
            <w:r w:rsidR="00D42B8B"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ciśnienia okluzji stale widoczny na wyświetlaczu pompy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Wbudowany akumulator litowo - jonowy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Zasilanie z wbudowanego akumulatora min. 10 godz. przy przepływie 5 ml/h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Czas ponownego ładowania do 4 godz.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Na wyświetlaczu widoczna informacja o pozostałym czasie pracy akumulatora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Automatyczne ładowanie akumulatora w pompie </w:t>
            </w:r>
            <w:r w:rsidR="00571985"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podłączonej</w:t>
            </w: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do zasilania sieciowego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Wymiana akumulatora bez konieczności wykonywania przeglądu technicznego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Rozbudowany system alarmów wizualnych i dźwiękowych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Historia pracy dostępna z menu pompy, z możliwością zapisania do 1000 zdarzeń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wprowadzenia informacji o dacie następnego przeglądu technicznego i wyświetlania jej przy każdym uruchomieniu pompy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42B8B" w:rsidRPr="00571985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D42B8B" w:rsidRPr="00571985" w:rsidRDefault="00D42B8B" w:rsidP="0057198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D42B8B" w:rsidRPr="00571985" w:rsidRDefault="00D42B8B" w:rsidP="00571985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color w:val="000000"/>
                <w:sz w:val="20"/>
                <w:szCs w:val="20"/>
              </w:rPr>
              <w:t>Instrukcja obsługi w języku polskim (z dostawą)</w:t>
            </w:r>
          </w:p>
        </w:tc>
        <w:tc>
          <w:tcPr>
            <w:tcW w:w="1471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571985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D42B8B" w:rsidRPr="00571985" w:rsidRDefault="00D42B8B" w:rsidP="0057198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EA2FBC" w:rsidRDefault="00EA2FBC" w:rsidP="00571985">
      <w:pPr>
        <w:rPr>
          <w:rFonts w:ascii="Arial Narrow" w:hAnsi="Arial Narrow"/>
          <w:sz w:val="20"/>
          <w:szCs w:val="20"/>
        </w:rPr>
      </w:pPr>
    </w:p>
    <w:p w:rsidR="002F6154" w:rsidRDefault="002F6154" w:rsidP="00571985">
      <w:pPr>
        <w:rPr>
          <w:rFonts w:ascii="Arial Narrow" w:hAnsi="Arial Narrow"/>
          <w:sz w:val="20"/>
          <w:szCs w:val="20"/>
        </w:rPr>
      </w:pPr>
    </w:p>
    <w:p w:rsidR="002F6154" w:rsidRDefault="002F6154" w:rsidP="00571985">
      <w:pPr>
        <w:rPr>
          <w:rFonts w:ascii="Arial Narrow" w:hAnsi="Arial Narrow"/>
          <w:sz w:val="20"/>
          <w:szCs w:val="20"/>
        </w:rPr>
      </w:pPr>
    </w:p>
    <w:p w:rsidR="002F6154" w:rsidRDefault="002F6154" w:rsidP="00571985">
      <w:pPr>
        <w:rPr>
          <w:rFonts w:ascii="Arial Narrow" w:hAnsi="Arial Narrow"/>
          <w:sz w:val="20"/>
          <w:szCs w:val="20"/>
        </w:rPr>
      </w:pPr>
    </w:p>
    <w:p w:rsidR="002F6154" w:rsidRDefault="002F6154" w:rsidP="002F6154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 w:rsidRPr="00142F40">
        <w:rPr>
          <w:rFonts w:ascii="Verdana" w:eastAsia="Times New Roman" w:hAnsi="Verdana" w:cs="Tahoma"/>
          <w:b/>
          <w:sz w:val="18"/>
          <w:szCs w:val="18"/>
        </w:rPr>
        <w:t>Pompa infuzyjna objętościowa 2 szt.</w:t>
      </w:r>
    </w:p>
    <w:p w:rsidR="002F6154" w:rsidRDefault="002F6154" w:rsidP="002F6154">
      <w:pPr>
        <w:jc w:val="center"/>
        <w:rPr>
          <w:rFonts w:ascii="Arial Narrow" w:hAnsi="Arial Narrow" w:cs="Calibri"/>
          <w:b/>
        </w:rPr>
      </w:pPr>
    </w:p>
    <w:p w:rsidR="002F6154" w:rsidRPr="002E4D99" w:rsidRDefault="002F6154" w:rsidP="002F6154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2F6154" w:rsidRPr="002E4D99" w:rsidRDefault="002F6154" w:rsidP="002F6154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2F6154" w:rsidRPr="002E4D99" w:rsidRDefault="002F6154" w:rsidP="002F6154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2F6154" w:rsidRPr="002E4D99" w:rsidRDefault="002F6154" w:rsidP="002F6154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2F6154" w:rsidRPr="002E4D99" w:rsidRDefault="002F6154" w:rsidP="002F6154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2F6154" w:rsidRDefault="002F6154" w:rsidP="002F6154">
      <w:pPr>
        <w:rPr>
          <w:rFonts w:ascii="Arial Narrow" w:hAnsi="Arial Narrow" w:cs="Calibri"/>
          <w:b/>
        </w:rPr>
      </w:pPr>
    </w:p>
    <w:p w:rsidR="002F6154" w:rsidRDefault="002F6154" w:rsidP="002F6154">
      <w:pPr>
        <w:rPr>
          <w:rFonts w:ascii="Arial Narrow" w:hAnsi="Arial Narrow" w:cs="Calibri"/>
          <w:b/>
        </w:rPr>
      </w:pPr>
    </w:p>
    <w:p w:rsidR="002F6154" w:rsidRPr="005D1F07" w:rsidRDefault="002F6154" w:rsidP="002F6154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2F6154" w:rsidRPr="007560D0" w:rsidTr="00173582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2F6154" w:rsidRPr="007560D0" w:rsidRDefault="002F6154" w:rsidP="0017358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"/>
                <w:kern w:val="3"/>
                <w:sz w:val="20"/>
                <w:szCs w:val="20"/>
                <w:lang w:eastAsia="hi-IN" w:bidi="hi-IN"/>
              </w:rPr>
            </w:pPr>
            <w:r w:rsidRPr="007560D0">
              <w:rPr>
                <w:rFonts w:ascii="Arial Narrow" w:eastAsia="Times New Roman" w:hAnsi="Arial Narrow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b/>
                <w:sz w:val="20"/>
                <w:szCs w:val="20"/>
              </w:rPr>
              <w:t xml:space="preserve">Wymagane parametry </w:t>
            </w:r>
            <w:r w:rsidRPr="007560D0">
              <w:rPr>
                <w:rFonts w:ascii="Arial Narrow" w:hAnsi="Arial Narrow"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-38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pl-PL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Pompa objętościowa sterowana elektronicznie umożliwiająca współpracę  z systemem centralnego zasilania i zarządzania danymi 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Zasilanie 230V 50 Hz, bezpośrednio z sieci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Wymiar: 290x98x220 mm (+/- 2 mm)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Waga pompy gotowej do użycia poniżej 2 kg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Stopień ochrony IP34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Kolorowy wyświetlacz czytelny pod kątem 80 stopni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Wbudowany uchwyt do mocowania pompy do stojaków infuzyjnych, oraz szyn poziomych. 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Wbudowany uchwyt do przenoszenia pompy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łączenia pomp w moduły bez użycia stacji dokującej -  3 pompy na jednym uchwycie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Linia infuzyjna mocowana od przodu. W zestawie min. 40 szt. Kompatybilnych linii/drenów.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Dostępne linie infuzyjne do bezpiecznej podaży cytostatyków w systemie zamkniętym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podaży żywienia dojelitowego - dostępne dedykowane linie infuzyjne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Klawiatura symboliczna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Menu pompy w języku polskim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Interaktywna instrukcja obsługi zaimplementowana w menu pompy, ułatwiająca pracę na każdym etapie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Drzwi pompy obsługiwane ręcznie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Zatrzaskowe mocowanie i współpraca ze stacją dokującą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Komunikacja pomiędzy pompą a stacja dokującą odbywa się za pośrednictwem IrDA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Mechanizm zabezpieczający  przed swobodnym  niekontrolowanym przepływem składający się z dwóch elementów – jeden w pompie jeden na drenie.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Zakres prędkości infuzji min. 0,1 do 1200 ml/h 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Automatyczna kalkulacja prędkości podaży po wprowadzeniu objętości i czasu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Możliwość programowania parametrów infuzji w mg, mcg, ng, IE, mmol, lub mEq ,z uwzględnieniem lub nie masy ciała w odniesieniu do czasu ( np. mg/kg/min; mg/kg/h; mg/kg/24h) 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Pompa wyposażona w system redukcji błędów dawki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Zmiana prędkości podaży bez przerywania infuzji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System automatycznej redukcji bolusa po alarmie ciśnienia okluzji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Wstępnie wybierana objętość w zakresie 0,10 - 9999 ml programowana co 0,01 ml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Wstępnie wybierany czas w zakresie 00h01min - 99h59min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Prędkość bolusa 1-1200 ml/h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Bolus na żądanie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Bolus programowany z automatyczną kalkulacją prędkości po wprowadzeniu objętości i czasu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podaży bolusa w jednostkach mg, mcg, mmol, mEq oraz jednostkach wagowych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Stryb stand-by w zakresie od 1 min do 24 godzin z programowaniem co 1 minutę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Tryb nocny z redukcją intensywności podświetlenia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Tryb nocny z możliwość włączenia ręcznego lub zaprogramowania automatycznego przełączania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Możliwość wprowadzenia do pompy biblioteki leków bezpośrednio z komputera, lub zdalnie poprzez sieć szpitalną z </w:t>
            </w: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centralnego serwera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Biblioteka zawiera do 3000 leków, z możliwością podzielenia na 30 kategorii i 15 profili pacjentów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Każdy lek może występować w 10 stężeniach, oraz być powiązany z limitami miękkimi, z limitami twardymi, jednym z 8 kolorów oraz ciśnieniem okluzji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Nazwa leku stale widoczna na wyświetlaczu pompy, również po wystąpieniu dowolnego alarmu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Ciśnienie okluzji możliwe do ustawienia na min. 9 poziomach w zakresie od 0.1 bara do 1.2 bara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Wskaźnik ciśnienia okluzji stale widoczny na wyświetlaczu pompy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Wbudowany akumulator litowo - jonowy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Zasilanie z wbudowanego akumulatora ok. 6 godz. przy przepływie 25 ml/h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Czas ponownego ładowania poniżej 4 godz.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Na wyświetlaczu widoczna precyzyjna informacja o pozostałym czasie pracy akumulatora w godzinach i minutach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Automatyczne ładowanie akumulatora w pompie podłączonej do zasilania sieciowego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Wymiana akumulatora bez konieczności wykonywania przeglądu technicznego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Rozbudowany system alarmów wizualnych i dźwiękowych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Historia pracy dostępna z menu pompy, z możliwością zapisania do 1000 zdarzeń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F6154" w:rsidRPr="007560D0" w:rsidTr="00173582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2F6154" w:rsidRPr="007560D0" w:rsidRDefault="002F6154" w:rsidP="002F615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2F6154" w:rsidRPr="007560D0" w:rsidRDefault="002F6154" w:rsidP="001735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wprowadzenia informacji o dacie następnego przeglądu technicznego i wyświetlania jej przy każdym uruchomieniu pompy</w:t>
            </w:r>
          </w:p>
        </w:tc>
        <w:tc>
          <w:tcPr>
            <w:tcW w:w="1471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560D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2F6154" w:rsidRPr="007560D0" w:rsidRDefault="002F6154" w:rsidP="0017358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2F6154" w:rsidRPr="007560D0" w:rsidRDefault="002F6154" w:rsidP="002F6154">
      <w:pPr>
        <w:rPr>
          <w:rFonts w:ascii="Arial Narrow" w:hAnsi="Arial Narrow"/>
          <w:sz w:val="20"/>
          <w:szCs w:val="20"/>
        </w:rPr>
      </w:pPr>
    </w:p>
    <w:p w:rsidR="002F6154" w:rsidRPr="00571985" w:rsidRDefault="002F6154" w:rsidP="00571985">
      <w:pPr>
        <w:rPr>
          <w:rFonts w:ascii="Arial Narrow" w:hAnsi="Arial Narrow"/>
          <w:sz w:val="20"/>
          <w:szCs w:val="20"/>
        </w:rPr>
      </w:pPr>
    </w:p>
    <w:sectPr w:rsidR="002F6154" w:rsidRPr="00571985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FAF" w:rsidRDefault="00F82FAF" w:rsidP="005D1F07">
      <w:pPr>
        <w:spacing w:after="0" w:line="240" w:lineRule="auto"/>
      </w:pPr>
      <w:r>
        <w:separator/>
      </w:r>
    </w:p>
  </w:endnote>
  <w:endnote w:type="continuationSeparator" w:id="0">
    <w:p w:rsidR="00F82FAF" w:rsidRDefault="00F82FAF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F6154">
      <w:rPr>
        <w:noProof/>
      </w:rPr>
      <w:t>1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FAF" w:rsidRDefault="00F82FAF" w:rsidP="005D1F07">
      <w:pPr>
        <w:spacing w:after="0" w:line="240" w:lineRule="auto"/>
      </w:pPr>
      <w:r>
        <w:separator/>
      </w:r>
    </w:p>
  </w:footnote>
  <w:footnote w:type="continuationSeparator" w:id="0">
    <w:p w:rsidR="00F82FAF" w:rsidRDefault="00F82FAF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A46CD1" w:rsidRDefault="00A46CD1" w:rsidP="00A46CD1">
    <w:pPr>
      <w:pStyle w:val="Nagwek"/>
      <w:jc w:val="center"/>
      <w:rPr>
        <w:noProof/>
        <w:lang w:eastAsia="pl-PL"/>
      </w:rPr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POWR.05.04.00-</w:t>
    </w:r>
    <w:r w:rsidR="002F6154">
      <w:rPr>
        <w:b/>
        <w:color w:val="000000"/>
        <w:sz w:val="18"/>
        <w:szCs w:val="18"/>
      </w:rPr>
      <w:t>00-</w:t>
    </w:r>
    <w:r>
      <w:rPr>
        <w:b/>
        <w:color w:val="000000"/>
        <w:sz w:val="18"/>
        <w:szCs w:val="18"/>
      </w:rPr>
      <w:t>0160/18</w:t>
    </w:r>
    <w:r w:rsidR="002F6154">
      <w:rPr>
        <w:b/>
        <w:color w:val="000000"/>
        <w:sz w:val="18"/>
        <w:szCs w:val="18"/>
      </w:rPr>
      <w:t>-00</w:t>
    </w:r>
  </w:p>
  <w:p w:rsidR="005D1F07" w:rsidRDefault="005D1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43561"/>
    <w:multiLevelType w:val="hybridMultilevel"/>
    <w:tmpl w:val="6ED08814"/>
    <w:lvl w:ilvl="0" w:tplc="F62EEB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7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9" w15:restartNumberingAfterBreak="0">
    <w:nsid w:val="612772B2"/>
    <w:multiLevelType w:val="hybridMultilevel"/>
    <w:tmpl w:val="6ED08814"/>
    <w:lvl w:ilvl="0" w:tplc="F62EEB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6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7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30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17"/>
  </w:num>
  <w:num w:numId="4">
    <w:abstractNumId w:val="13"/>
  </w:num>
  <w:num w:numId="5">
    <w:abstractNumId w:val="28"/>
  </w:num>
  <w:num w:numId="6">
    <w:abstractNumId w:val="20"/>
  </w:num>
  <w:num w:numId="7">
    <w:abstractNumId w:val="10"/>
  </w:num>
  <w:num w:numId="8">
    <w:abstractNumId w:val="4"/>
  </w:num>
  <w:num w:numId="9">
    <w:abstractNumId w:val="0"/>
  </w:num>
  <w:num w:numId="10">
    <w:abstractNumId w:val="27"/>
  </w:num>
  <w:num w:numId="11">
    <w:abstractNumId w:val="14"/>
  </w:num>
  <w:num w:numId="12">
    <w:abstractNumId w:val="24"/>
  </w:num>
  <w:num w:numId="13">
    <w:abstractNumId w:val="30"/>
  </w:num>
  <w:num w:numId="14">
    <w:abstractNumId w:val="2"/>
  </w:num>
  <w:num w:numId="15">
    <w:abstractNumId w:val="9"/>
  </w:num>
  <w:num w:numId="16">
    <w:abstractNumId w:val="29"/>
  </w:num>
  <w:num w:numId="17">
    <w:abstractNumId w:val="6"/>
  </w:num>
  <w:num w:numId="18">
    <w:abstractNumId w:val="26"/>
  </w:num>
  <w:num w:numId="19">
    <w:abstractNumId w:val="11"/>
  </w:num>
  <w:num w:numId="20">
    <w:abstractNumId w:val="7"/>
  </w:num>
  <w:num w:numId="21">
    <w:abstractNumId w:val="21"/>
  </w:num>
  <w:num w:numId="22">
    <w:abstractNumId w:val="15"/>
  </w:num>
  <w:num w:numId="23">
    <w:abstractNumId w:val="8"/>
  </w:num>
  <w:num w:numId="24">
    <w:abstractNumId w:val="16"/>
  </w:num>
  <w:num w:numId="25">
    <w:abstractNumId w:val="25"/>
  </w:num>
  <w:num w:numId="26">
    <w:abstractNumId w:val="5"/>
  </w:num>
  <w:num w:numId="27">
    <w:abstractNumId w:val="18"/>
  </w:num>
  <w:num w:numId="28">
    <w:abstractNumId w:val="23"/>
  </w:num>
  <w:num w:numId="29">
    <w:abstractNumId w:val="19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CA"/>
    <w:rsid w:val="000617AD"/>
    <w:rsid w:val="00065EC5"/>
    <w:rsid w:val="00107ACA"/>
    <w:rsid w:val="00142F40"/>
    <w:rsid w:val="001707B2"/>
    <w:rsid w:val="001E766E"/>
    <w:rsid w:val="002F6154"/>
    <w:rsid w:val="0030376F"/>
    <w:rsid w:val="003554D9"/>
    <w:rsid w:val="003D0924"/>
    <w:rsid w:val="00436E0C"/>
    <w:rsid w:val="004566A1"/>
    <w:rsid w:val="005307B3"/>
    <w:rsid w:val="00571985"/>
    <w:rsid w:val="005D1F07"/>
    <w:rsid w:val="005E2B99"/>
    <w:rsid w:val="005F563D"/>
    <w:rsid w:val="00681838"/>
    <w:rsid w:val="006C3D53"/>
    <w:rsid w:val="007D115D"/>
    <w:rsid w:val="008420BD"/>
    <w:rsid w:val="009B1AA7"/>
    <w:rsid w:val="009F348E"/>
    <w:rsid w:val="00A46CD1"/>
    <w:rsid w:val="00D42B8B"/>
    <w:rsid w:val="00E06805"/>
    <w:rsid w:val="00EA0937"/>
    <w:rsid w:val="00EA2FBC"/>
    <w:rsid w:val="00ED7AE4"/>
    <w:rsid w:val="00EE47EF"/>
    <w:rsid w:val="00F8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C77F529-5D77-462F-8692-A13FE3C4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2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62714-7D16-4416-A7DA-AD7522486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6</cp:revision>
  <cp:lastPrinted>2019-02-19T09:20:00Z</cp:lastPrinted>
  <dcterms:created xsi:type="dcterms:W3CDTF">2019-01-28T08:54:00Z</dcterms:created>
  <dcterms:modified xsi:type="dcterms:W3CDTF">2019-02-19T09:20:00Z</dcterms:modified>
</cp:coreProperties>
</file>