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6A" w:rsidRPr="0073046A" w:rsidRDefault="0073046A" w:rsidP="0073046A">
      <w:pPr>
        <w:ind w:left="5664" w:firstLine="708"/>
        <w:rPr>
          <w:rFonts w:ascii="Arial" w:hAnsi="Arial" w:cs="Arial"/>
          <w:b/>
          <w:i/>
          <w:sz w:val="20"/>
          <w:szCs w:val="20"/>
        </w:rPr>
      </w:pPr>
      <w:r w:rsidRPr="005A7D9F">
        <w:rPr>
          <w:rFonts w:ascii="Arial" w:hAnsi="Arial" w:cs="Arial"/>
          <w:b/>
          <w:i/>
          <w:sz w:val="20"/>
          <w:szCs w:val="20"/>
        </w:rPr>
        <w:t>Załącznik nr 2 do oferty</w:t>
      </w:r>
      <w:bookmarkStart w:id="0" w:name="_GoBack"/>
      <w:bookmarkEnd w:id="0"/>
    </w:p>
    <w:p w:rsidR="0073046A" w:rsidRPr="005A7D9F" w:rsidRDefault="0073046A" w:rsidP="0073046A">
      <w:pPr>
        <w:keepNext/>
        <w:widowControl w:val="0"/>
        <w:tabs>
          <w:tab w:val="left" w:pos="6237"/>
          <w:tab w:val="left" w:pos="6804"/>
        </w:tabs>
        <w:spacing w:after="0"/>
        <w:jc w:val="center"/>
        <w:outlineLvl w:val="1"/>
        <w:rPr>
          <w:rFonts w:ascii="Arial" w:eastAsia="Times New Roman" w:hAnsi="Arial" w:cs="Arial"/>
          <w:i/>
          <w:snapToGrid w:val="0"/>
          <w:lang w:eastAsia="pl-PL"/>
        </w:rPr>
      </w:pPr>
      <w:r w:rsidRPr="005A7D9F">
        <w:rPr>
          <w:rFonts w:ascii="Arial" w:eastAsia="Times New Roman" w:hAnsi="Arial" w:cs="Arial"/>
          <w:i/>
          <w:snapToGrid w:val="0"/>
          <w:lang w:eastAsia="pl-PL"/>
        </w:rPr>
        <w:t>WZÓR</w:t>
      </w:r>
    </w:p>
    <w:p w:rsidR="0073046A" w:rsidRPr="005A7D9F" w:rsidRDefault="0073046A" w:rsidP="0073046A">
      <w:pPr>
        <w:keepNext/>
        <w:widowControl w:val="0"/>
        <w:tabs>
          <w:tab w:val="left" w:pos="6237"/>
          <w:tab w:val="left" w:pos="6804"/>
        </w:tabs>
        <w:spacing w:after="0"/>
        <w:jc w:val="center"/>
        <w:outlineLvl w:val="1"/>
        <w:rPr>
          <w:rFonts w:ascii="Arial" w:eastAsia="Times New Roman" w:hAnsi="Arial" w:cs="Arial"/>
          <w:i/>
          <w:snapToGrid w:val="0"/>
          <w:lang w:eastAsia="pl-PL"/>
        </w:rPr>
      </w:pPr>
    </w:p>
    <w:p w:rsidR="0073046A" w:rsidRPr="005A7D9F" w:rsidRDefault="0073046A" w:rsidP="0073046A">
      <w:pPr>
        <w:spacing w:after="0" w:line="240" w:lineRule="auto"/>
        <w:jc w:val="center"/>
        <w:rPr>
          <w:rFonts w:ascii="Arial" w:eastAsia="Calibri" w:hAnsi="Arial" w:cs="Arial"/>
          <w:b/>
        </w:rPr>
      </w:pPr>
      <w:r w:rsidRPr="005A7D9F">
        <w:rPr>
          <w:rFonts w:ascii="Arial" w:eastAsia="Calibri" w:hAnsi="Arial" w:cs="Arial"/>
          <w:b/>
        </w:rPr>
        <w:t>WYKAZ  OFEROWANYCH  MATERIAŁÓW EKSPLOATACYJNYCH   RÓWNOWAŻNYCH*</w:t>
      </w:r>
    </w:p>
    <w:p w:rsidR="0073046A" w:rsidRPr="005A7D9F" w:rsidRDefault="0073046A" w:rsidP="0073046A">
      <w:pPr>
        <w:spacing w:after="0" w:line="240" w:lineRule="auto"/>
        <w:jc w:val="center"/>
        <w:rPr>
          <w:rFonts w:ascii="Arial" w:eastAsia="Calibri" w:hAnsi="Arial" w:cs="Arial"/>
          <w:b/>
        </w:rPr>
      </w:pPr>
      <w:r w:rsidRPr="005A7D9F">
        <w:rPr>
          <w:rFonts w:ascii="Arial" w:eastAsia="Calibri" w:hAnsi="Arial" w:cs="Arial"/>
          <w:b/>
        </w:rPr>
        <w:t>- W ZAKRESIE CZĘŚCI NR 1 –</w:t>
      </w:r>
    </w:p>
    <w:p w:rsidR="0073046A" w:rsidRPr="005A7D9F" w:rsidRDefault="0073046A" w:rsidP="0073046A">
      <w:pPr>
        <w:spacing w:after="0" w:line="240" w:lineRule="auto"/>
        <w:rPr>
          <w:rFonts w:ascii="Arial" w:eastAsia="Calibri" w:hAnsi="Arial" w:cs="Arial"/>
          <w:b/>
        </w:rPr>
      </w:pPr>
    </w:p>
    <w:p w:rsidR="0073046A" w:rsidRPr="005A7D9F" w:rsidRDefault="0073046A" w:rsidP="0073046A">
      <w:pPr>
        <w:spacing w:after="0" w:line="240" w:lineRule="auto"/>
        <w:rPr>
          <w:rFonts w:ascii="Arial" w:eastAsia="Calibri" w:hAnsi="Arial" w:cs="Arial"/>
          <w:b/>
        </w:rPr>
      </w:pPr>
    </w:p>
    <w:p w:rsidR="0073046A" w:rsidRPr="005A7D9F" w:rsidRDefault="0073046A" w:rsidP="0073046A">
      <w:pPr>
        <w:spacing w:after="0" w:line="240" w:lineRule="auto"/>
        <w:rPr>
          <w:rFonts w:ascii="Arial" w:eastAsia="Calibri" w:hAnsi="Arial" w:cs="Arial"/>
          <w:i/>
        </w:rPr>
      </w:pPr>
      <w:r w:rsidRPr="005A7D9F">
        <w:rPr>
          <w:rFonts w:ascii="Arial" w:eastAsia="Calibri" w:hAnsi="Arial" w:cs="Arial"/>
          <w:i/>
        </w:rPr>
        <w:t>*</w:t>
      </w:r>
      <w:r w:rsidRPr="005A7D9F">
        <w:rPr>
          <w:rFonts w:ascii="Arial" w:eastAsia="Calibri" w:hAnsi="Arial" w:cs="Arial"/>
          <w:i/>
          <w:u w:val="single"/>
        </w:rPr>
        <w:t>Wypełnić wyłącznie w przypadku oferowania materiałów eksploatacyjnych równoważnych</w:t>
      </w:r>
    </w:p>
    <w:p w:rsidR="0073046A" w:rsidRPr="005A7D9F" w:rsidRDefault="0073046A" w:rsidP="0073046A">
      <w:pPr>
        <w:spacing w:after="0" w:line="240" w:lineRule="auto"/>
        <w:rPr>
          <w:rFonts w:ascii="Arial" w:eastAsia="Calibri" w:hAnsi="Arial" w:cs="Arial"/>
          <w:i/>
        </w:rPr>
      </w:pPr>
    </w:p>
    <w:p w:rsidR="0073046A" w:rsidRPr="005A7D9F" w:rsidRDefault="0073046A" w:rsidP="0073046A">
      <w:pPr>
        <w:spacing w:after="0" w:line="240" w:lineRule="auto"/>
        <w:rPr>
          <w:rFonts w:ascii="Arial" w:eastAsia="Calibri" w:hAnsi="Arial" w:cs="Arial"/>
          <w:i/>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2268"/>
        <w:gridCol w:w="1690"/>
        <w:gridCol w:w="1428"/>
        <w:gridCol w:w="2835"/>
      </w:tblGrid>
      <w:tr w:rsidR="0073046A" w:rsidRPr="005A7D9F" w:rsidTr="004636D0">
        <w:trPr>
          <w:trHeight w:val="964"/>
        </w:trPr>
        <w:tc>
          <w:tcPr>
            <w:tcW w:w="2411" w:type="dxa"/>
            <w:vMerge w:val="restart"/>
            <w:shd w:val="clear" w:color="auto" w:fill="auto"/>
          </w:tcPr>
          <w:p w:rsidR="0073046A" w:rsidRPr="005A7D9F" w:rsidRDefault="0073046A" w:rsidP="004636D0">
            <w:pPr>
              <w:spacing w:after="0"/>
              <w:rPr>
                <w:rFonts w:ascii="Arial" w:eastAsia="Times New Roman" w:hAnsi="Arial" w:cs="Arial"/>
                <w:b/>
                <w:sz w:val="20"/>
                <w:lang w:eastAsia="pl-PL"/>
              </w:rPr>
            </w:pPr>
            <w:r w:rsidRPr="005A7D9F">
              <w:rPr>
                <w:rFonts w:ascii="Arial" w:eastAsia="Times New Roman" w:hAnsi="Arial" w:cs="Arial"/>
                <w:b/>
                <w:sz w:val="20"/>
                <w:lang w:eastAsia="pl-PL"/>
              </w:rPr>
              <w:t xml:space="preserve">POZYCJA </w:t>
            </w:r>
            <w:r w:rsidRPr="005A7D9F">
              <w:rPr>
                <w:rFonts w:ascii="Arial" w:eastAsia="Times New Roman" w:hAnsi="Arial" w:cs="Arial"/>
                <w:b/>
                <w:sz w:val="20"/>
                <w:lang w:eastAsia="pl-PL"/>
              </w:rPr>
              <w:br/>
              <w:t>z „Wykazu materiałów stanowiących przedmiot zamówienia”</w:t>
            </w:r>
          </w:p>
        </w:tc>
        <w:tc>
          <w:tcPr>
            <w:tcW w:w="2268" w:type="dxa"/>
            <w:vMerge w:val="restart"/>
            <w:shd w:val="clear" w:color="auto" w:fill="auto"/>
          </w:tcPr>
          <w:p w:rsidR="0073046A" w:rsidRPr="005A7D9F" w:rsidRDefault="0073046A" w:rsidP="004636D0">
            <w:pPr>
              <w:spacing w:after="0"/>
              <w:rPr>
                <w:rFonts w:ascii="Arial" w:eastAsia="Times New Roman" w:hAnsi="Arial" w:cs="Arial"/>
                <w:b/>
                <w:sz w:val="20"/>
                <w:lang w:eastAsia="pl-PL"/>
              </w:rPr>
            </w:pPr>
            <w:r w:rsidRPr="005A7D9F">
              <w:rPr>
                <w:rFonts w:ascii="Arial" w:eastAsia="Times New Roman" w:hAnsi="Arial" w:cs="Arial"/>
                <w:b/>
                <w:sz w:val="20"/>
                <w:lang w:eastAsia="pl-PL"/>
              </w:rPr>
              <w:t xml:space="preserve">OPIS PRODUKTU </w:t>
            </w:r>
            <w:r w:rsidRPr="005A7D9F">
              <w:rPr>
                <w:rFonts w:ascii="Arial" w:eastAsia="Times New Roman" w:hAnsi="Arial" w:cs="Arial"/>
                <w:b/>
                <w:sz w:val="20"/>
                <w:lang w:eastAsia="pl-PL"/>
              </w:rPr>
              <w:br/>
              <w:t>z „Wykazu materiałów stanowiących przedmiot zamówienia”</w:t>
            </w:r>
          </w:p>
        </w:tc>
        <w:tc>
          <w:tcPr>
            <w:tcW w:w="3118" w:type="dxa"/>
            <w:gridSpan w:val="2"/>
            <w:tcBorders>
              <w:bottom w:val="single" w:sz="4" w:space="0" w:color="auto"/>
            </w:tcBorders>
            <w:shd w:val="clear" w:color="auto" w:fill="auto"/>
            <w:vAlign w:val="center"/>
          </w:tcPr>
          <w:p w:rsidR="0073046A" w:rsidRPr="005A7D9F" w:rsidRDefault="0073046A" w:rsidP="004636D0">
            <w:pPr>
              <w:spacing w:after="0"/>
              <w:jc w:val="center"/>
              <w:rPr>
                <w:rFonts w:ascii="Arial" w:eastAsia="Times New Roman" w:hAnsi="Arial" w:cs="Arial"/>
                <w:b/>
                <w:sz w:val="20"/>
                <w:lang w:eastAsia="pl-PL"/>
              </w:rPr>
            </w:pPr>
            <w:r w:rsidRPr="005A7D9F">
              <w:rPr>
                <w:rFonts w:ascii="Arial" w:eastAsia="Times New Roman" w:hAnsi="Arial" w:cs="Arial"/>
                <w:b/>
                <w:sz w:val="20"/>
                <w:lang w:eastAsia="pl-PL"/>
              </w:rPr>
              <w:t>PRODUKT PROPONOWANY:</w:t>
            </w:r>
          </w:p>
        </w:tc>
        <w:tc>
          <w:tcPr>
            <w:tcW w:w="2835" w:type="dxa"/>
            <w:vMerge w:val="restart"/>
            <w:shd w:val="clear" w:color="auto" w:fill="auto"/>
          </w:tcPr>
          <w:p w:rsidR="0073046A" w:rsidRPr="005A7D9F" w:rsidRDefault="0073046A" w:rsidP="004636D0">
            <w:pPr>
              <w:spacing w:after="0"/>
              <w:rPr>
                <w:rFonts w:ascii="Arial" w:eastAsia="Times New Roman" w:hAnsi="Arial" w:cs="Arial"/>
                <w:b/>
                <w:sz w:val="20"/>
                <w:lang w:eastAsia="pl-PL"/>
              </w:rPr>
            </w:pPr>
            <w:r w:rsidRPr="005A7D9F">
              <w:rPr>
                <w:rFonts w:ascii="Arial" w:eastAsia="Times New Roman" w:hAnsi="Arial" w:cs="Arial"/>
                <w:b/>
                <w:sz w:val="20"/>
                <w:lang w:eastAsia="pl-PL"/>
              </w:rPr>
              <w:t>ZAKRES RÓWNOWAŻNOŚCI:*</w:t>
            </w:r>
          </w:p>
          <w:p w:rsidR="0073046A" w:rsidRPr="005A7D9F" w:rsidRDefault="0073046A" w:rsidP="004636D0">
            <w:pPr>
              <w:spacing w:after="0"/>
              <w:rPr>
                <w:rFonts w:ascii="Arial" w:eastAsia="Times New Roman" w:hAnsi="Arial" w:cs="Arial"/>
                <w:b/>
                <w:sz w:val="16"/>
                <w:szCs w:val="16"/>
                <w:lang w:eastAsia="pl-PL"/>
              </w:rPr>
            </w:pPr>
            <w:r w:rsidRPr="005A7D9F">
              <w:rPr>
                <w:rFonts w:ascii="Arial" w:eastAsia="Times New Roman" w:hAnsi="Arial" w:cs="Arial"/>
                <w:b/>
                <w:sz w:val="16"/>
                <w:szCs w:val="16"/>
                <w:lang w:eastAsia="pl-PL"/>
              </w:rPr>
              <w:t>-pojemność,</w:t>
            </w:r>
          </w:p>
          <w:p w:rsidR="0073046A" w:rsidRPr="005A7D9F" w:rsidRDefault="0073046A" w:rsidP="004636D0">
            <w:pPr>
              <w:spacing w:after="0"/>
              <w:rPr>
                <w:rFonts w:ascii="Arial" w:eastAsia="Times New Roman" w:hAnsi="Arial" w:cs="Arial"/>
                <w:b/>
                <w:sz w:val="16"/>
                <w:szCs w:val="16"/>
                <w:lang w:eastAsia="pl-PL"/>
              </w:rPr>
            </w:pPr>
            <w:r w:rsidRPr="005A7D9F">
              <w:rPr>
                <w:rFonts w:ascii="Arial" w:eastAsia="Times New Roman" w:hAnsi="Arial" w:cs="Arial"/>
                <w:b/>
                <w:sz w:val="16"/>
                <w:szCs w:val="16"/>
                <w:lang w:eastAsia="pl-PL"/>
              </w:rPr>
              <w:t>-wydajność,</w:t>
            </w:r>
          </w:p>
          <w:p w:rsidR="0073046A" w:rsidRPr="005A7D9F" w:rsidRDefault="0073046A" w:rsidP="004636D0">
            <w:pPr>
              <w:spacing w:after="0"/>
              <w:rPr>
                <w:rFonts w:ascii="Arial" w:eastAsia="Times New Roman" w:hAnsi="Arial" w:cs="Arial"/>
                <w:b/>
                <w:sz w:val="20"/>
                <w:lang w:eastAsia="pl-PL"/>
              </w:rPr>
            </w:pPr>
            <w:r w:rsidRPr="005A7D9F">
              <w:rPr>
                <w:rFonts w:ascii="Arial" w:eastAsia="Times New Roman" w:hAnsi="Arial" w:cs="Arial"/>
                <w:b/>
                <w:sz w:val="16"/>
                <w:szCs w:val="16"/>
                <w:lang w:eastAsia="pl-PL"/>
              </w:rPr>
              <w:t xml:space="preserve">-wykaz urządzeń, do </w:t>
            </w:r>
          </w:p>
          <w:p w:rsidR="0073046A" w:rsidRPr="005A7D9F" w:rsidRDefault="0073046A" w:rsidP="004636D0">
            <w:pPr>
              <w:spacing w:after="0"/>
              <w:rPr>
                <w:rFonts w:ascii="Arial" w:eastAsia="Times New Roman" w:hAnsi="Arial" w:cs="Arial"/>
                <w:b/>
                <w:sz w:val="20"/>
                <w:lang w:eastAsia="pl-PL"/>
              </w:rPr>
            </w:pPr>
            <w:r w:rsidRPr="005A7D9F">
              <w:rPr>
                <w:rFonts w:ascii="Arial" w:eastAsia="Times New Roman" w:hAnsi="Arial" w:cs="Arial"/>
                <w:b/>
                <w:sz w:val="16"/>
                <w:szCs w:val="16"/>
                <w:lang w:eastAsia="pl-PL"/>
              </w:rPr>
              <w:t>których oferowany materiał może być zastosowany</w:t>
            </w:r>
          </w:p>
        </w:tc>
      </w:tr>
      <w:tr w:rsidR="0073046A" w:rsidRPr="005A7D9F" w:rsidTr="004636D0">
        <w:trPr>
          <w:trHeight w:val="551"/>
        </w:trPr>
        <w:tc>
          <w:tcPr>
            <w:tcW w:w="2411" w:type="dxa"/>
            <w:vMerge/>
            <w:shd w:val="clear" w:color="auto" w:fill="auto"/>
          </w:tcPr>
          <w:p w:rsidR="0073046A" w:rsidRPr="005A7D9F" w:rsidRDefault="0073046A" w:rsidP="004636D0">
            <w:pPr>
              <w:spacing w:after="0"/>
              <w:rPr>
                <w:rFonts w:ascii="Arial" w:eastAsia="Times New Roman" w:hAnsi="Arial" w:cs="Arial"/>
                <w:b/>
                <w:sz w:val="20"/>
                <w:lang w:eastAsia="pl-PL"/>
              </w:rPr>
            </w:pPr>
          </w:p>
        </w:tc>
        <w:tc>
          <w:tcPr>
            <w:tcW w:w="2268" w:type="dxa"/>
            <w:vMerge/>
            <w:shd w:val="clear" w:color="auto" w:fill="auto"/>
          </w:tcPr>
          <w:p w:rsidR="0073046A" w:rsidRPr="005A7D9F" w:rsidRDefault="0073046A" w:rsidP="004636D0">
            <w:pPr>
              <w:spacing w:after="0"/>
              <w:rPr>
                <w:rFonts w:ascii="Arial" w:eastAsia="Times New Roman" w:hAnsi="Arial" w:cs="Arial"/>
                <w:b/>
                <w:sz w:val="20"/>
                <w:lang w:eastAsia="pl-PL"/>
              </w:rPr>
            </w:pPr>
          </w:p>
        </w:tc>
        <w:tc>
          <w:tcPr>
            <w:tcW w:w="1690" w:type="dxa"/>
            <w:tcBorders>
              <w:top w:val="single" w:sz="4" w:space="0" w:color="auto"/>
              <w:right w:val="single" w:sz="4" w:space="0" w:color="auto"/>
            </w:tcBorders>
            <w:shd w:val="clear" w:color="auto" w:fill="auto"/>
          </w:tcPr>
          <w:p w:rsidR="0073046A" w:rsidRPr="005A7D9F" w:rsidRDefault="0073046A" w:rsidP="004636D0">
            <w:pPr>
              <w:spacing w:after="0"/>
              <w:rPr>
                <w:rFonts w:ascii="Arial" w:eastAsia="Times New Roman" w:hAnsi="Arial" w:cs="Arial"/>
                <w:b/>
                <w:sz w:val="20"/>
                <w:lang w:eastAsia="pl-PL"/>
              </w:rPr>
            </w:pPr>
            <w:r w:rsidRPr="005A7D9F">
              <w:rPr>
                <w:rFonts w:ascii="Arial" w:eastAsia="Times New Roman" w:hAnsi="Arial" w:cs="Arial"/>
                <w:b/>
                <w:sz w:val="20"/>
                <w:lang w:eastAsia="pl-PL"/>
              </w:rPr>
              <w:t>NAZWA PRODUCENTA</w:t>
            </w:r>
          </w:p>
        </w:tc>
        <w:tc>
          <w:tcPr>
            <w:tcW w:w="1428" w:type="dxa"/>
            <w:tcBorders>
              <w:top w:val="single" w:sz="4" w:space="0" w:color="auto"/>
              <w:left w:val="single" w:sz="4" w:space="0" w:color="auto"/>
            </w:tcBorders>
            <w:shd w:val="clear" w:color="auto" w:fill="auto"/>
          </w:tcPr>
          <w:p w:rsidR="0073046A" w:rsidRPr="005A7D9F" w:rsidRDefault="0073046A" w:rsidP="004636D0">
            <w:pPr>
              <w:spacing w:after="0"/>
              <w:rPr>
                <w:rFonts w:ascii="Arial" w:eastAsia="Times New Roman" w:hAnsi="Arial" w:cs="Arial"/>
                <w:b/>
                <w:sz w:val="20"/>
                <w:lang w:eastAsia="pl-PL"/>
              </w:rPr>
            </w:pPr>
            <w:r w:rsidRPr="005A7D9F">
              <w:rPr>
                <w:rFonts w:ascii="Arial" w:eastAsia="Times New Roman" w:hAnsi="Arial" w:cs="Arial"/>
                <w:b/>
                <w:sz w:val="20"/>
                <w:lang w:eastAsia="pl-PL"/>
              </w:rPr>
              <w:t>SYMBOL asortymentu</w:t>
            </w:r>
          </w:p>
        </w:tc>
        <w:tc>
          <w:tcPr>
            <w:tcW w:w="2835" w:type="dxa"/>
            <w:vMerge/>
            <w:shd w:val="clear" w:color="auto" w:fill="auto"/>
          </w:tcPr>
          <w:p w:rsidR="0073046A" w:rsidRPr="005A7D9F" w:rsidRDefault="0073046A" w:rsidP="004636D0">
            <w:pPr>
              <w:spacing w:after="0"/>
              <w:rPr>
                <w:rFonts w:ascii="Arial" w:eastAsia="Times New Roman" w:hAnsi="Arial" w:cs="Arial"/>
                <w:b/>
                <w:sz w:val="20"/>
                <w:lang w:eastAsia="pl-PL"/>
              </w:rPr>
            </w:pPr>
          </w:p>
        </w:tc>
      </w:tr>
      <w:tr w:rsidR="0073046A" w:rsidRPr="005A7D9F" w:rsidTr="004636D0">
        <w:tc>
          <w:tcPr>
            <w:tcW w:w="2411" w:type="dxa"/>
            <w:shd w:val="clear" w:color="auto" w:fill="auto"/>
          </w:tcPr>
          <w:p w:rsidR="0073046A" w:rsidRPr="005A7D9F" w:rsidRDefault="0073046A" w:rsidP="004636D0">
            <w:pPr>
              <w:spacing w:after="0"/>
              <w:ind w:left="360"/>
              <w:rPr>
                <w:rFonts w:ascii="Arial" w:eastAsia="Times New Roman" w:hAnsi="Arial" w:cs="Arial"/>
                <w:b/>
                <w:lang w:eastAsia="pl-PL"/>
              </w:rPr>
            </w:pPr>
          </w:p>
          <w:p w:rsidR="0073046A" w:rsidRPr="005A7D9F" w:rsidRDefault="0073046A" w:rsidP="004636D0">
            <w:pPr>
              <w:spacing w:after="0"/>
              <w:ind w:left="360"/>
              <w:rPr>
                <w:rFonts w:ascii="Arial" w:eastAsia="Times New Roman" w:hAnsi="Arial" w:cs="Arial"/>
                <w:b/>
                <w:lang w:eastAsia="pl-PL"/>
              </w:rPr>
            </w:pPr>
          </w:p>
        </w:tc>
        <w:tc>
          <w:tcPr>
            <w:tcW w:w="2268" w:type="dxa"/>
            <w:shd w:val="clear" w:color="auto" w:fill="auto"/>
          </w:tcPr>
          <w:p w:rsidR="0073046A" w:rsidRPr="005A7D9F" w:rsidRDefault="0073046A" w:rsidP="004636D0">
            <w:pPr>
              <w:spacing w:after="0"/>
              <w:ind w:left="360"/>
              <w:rPr>
                <w:rFonts w:ascii="Arial" w:eastAsia="Times New Roman" w:hAnsi="Arial" w:cs="Arial"/>
                <w:b/>
                <w:lang w:eastAsia="pl-PL"/>
              </w:rPr>
            </w:pPr>
          </w:p>
        </w:tc>
        <w:tc>
          <w:tcPr>
            <w:tcW w:w="1690" w:type="dxa"/>
            <w:tcBorders>
              <w:right w:val="single" w:sz="4" w:space="0" w:color="auto"/>
            </w:tcBorders>
            <w:shd w:val="clear" w:color="auto" w:fill="auto"/>
          </w:tcPr>
          <w:p w:rsidR="0073046A" w:rsidRPr="005A7D9F" w:rsidRDefault="0073046A" w:rsidP="004636D0">
            <w:pPr>
              <w:spacing w:after="0"/>
              <w:ind w:left="360"/>
              <w:rPr>
                <w:rFonts w:ascii="Arial" w:eastAsia="Times New Roman" w:hAnsi="Arial" w:cs="Arial"/>
                <w:b/>
                <w:lang w:eastAsia="pl-PL"/>
              </w:rPr>
            </w:pPr>
          </w:p>
        </w:tc>
        <w:tc>
          <w:tcPr>
            <w:tcW w:w="1428" w:type="dxa"/>
            <w:tcBorders>
              <w:left w:val="single" w:sz="4" w:space="0" w:color="auto"/>
            </w:tcBorders>
            <w:shd w:val="clear" w:color="auto" w:fill="auto"/>
          </w:tcPr>
          <w:p w:rsidR="0073046A" w:rsidRPr="005A7D9F" w:rsidRDefault="0073046A" w:rsidP="004636D0">
            <w:pPr>
              <w:spacing w:after="0"/>
              <w:ind w:left="360"/>
              <w:rPr>
                <w:rFonts w:ascii="Arial" w:eastAsia="Times New Roman" w:hAnsi="Arial" w:cs="Arial"/>
                <w:b/>
                <w:lang w:eastAsia="pl-PL"/>
              </w:rPr>
            </w:pPr>
          </w:p>
        </w:tc>
        <w:tc>
          <w:tcPr>
            <w:tcW w:w="2835" w:type="dxa"/>
            <w:shd w:val="clear" w:color="auto" w:fill="auto"/>
          </w:tcPr>
          <w:p w:rsidR="0073046A" w:rsidRPr="005A7D9F" w:rsidRDefault="0073046A" w:rsidP="004636D0">
            <w:pPr>
              <w:spacing w:after="0"/>
              <w:ind w:left="360"/>
              <w:rPr>
                <w:rFonts w:ascii="Arial" w:eastAsia="Times New Roman" w:hAnsi="Arial" w:cs="Arial"/>
                <w:b/>
                <w:lang w:eastAsia="pl-PL"/>
              </w:rPr>
            </w:pPr>
          </w:p>
        </w:tc>
      </w:tr>
      <w:tr w:rsidR="0073046A" w:rsidRPr="005A7D9F" w:rsidTr="004636D0">
        <w:tc>
          <w:tcPr>
            <w:tcW w:w="2411" w:type="dxa"/>
            <w:shd w:val="clear" w:color="auto" w:fill="auto"/>
          </w:tcPr>
          <w:p w:rsidR="0073046A" w:rsidRPr="005A7D9F" w:rsidRDefault="0073046A" w:rsidP="004636D0">
            <w:pPr>
              <w:spacing w:after="0"/>
              <w:ind w:left="360"/>
              <w:rPr>
                <w:rFonts w:ascii="Arial" w:eastAsia="Times New Roman" w:hAnsi="Arial" w:cs="Arial"/>
                <w:b/>
                <w:lang w:eastAsia="pl-PL"/>
              </w:rPr>
            </w:pPr>
          </w:p>
          <w:p w:rsidR="0073046A" w:rsidRPr="005A7D9F" w:rsidRDefault="0073046A" w:rsidP="004636D0">
            <w:pPr>
              <w:spacing w:after="0"/>
              <w:ind w:left="360"/>
              <w:rPr>
                <w:rFonts w:ascii="Arial" w:eastAsia="Times New Roman" w:hAnsi="Arial" w:cs="Arial"/>
                <w:b/>
                <w:lang w:eastAsia="pl-PL"/>
              </w:rPr>
            </w:pPr>
          </w:p>
        </w:tc>
        <w:tc>
          <w:tcPr>
            <w:tcW w:w="2268" w:type="dxa"/>
            <w:shd w:val="clear" w:color="auto" w:fill="auto"/>
          </w:tcPr>
          <w:p w:rsidR="0073046A" w:rsidRPr="005A7D9F" w:rsidRDefault="0073046A" w:rsidP="004636D0">
            <w:pPr>
              <w:spacing w:after="0"/>
              <w:ind w:left="360"/>
              <w:rPr>
                <w:rFonts w:ascii="Arial" w:eastAsia="Times New Roman" w:hAnsi="Arial" w:cs="Arial"/>
                <w:b/>
                <w:lang w:eastAsia="pl-PL"/>
              </w:rPr>
            </w:pPr>
          </w:p>
        </w:tc>
        <w:tc>
          <w:tcPr>
            <w:tcW w:w="1690" w:type="dxa"/>
            <w:tcBorders>
              <w:right w:val="single" w:sz="4" w:space="0" w:color="auto"/>
            </w:tcBorders>
            <w:shd w:val="clear" w:color="auto" w:fill="auto"/>
          </w:tcPr>
          <w:p w:rsidR="0073046A" w:rsidRPr="005A7D9F" w:rsidRDefault="0073046A" w:rsidP="004636D0">
            <w:pPr>
              <w:spacing w:after="0"/>
              <w:ind w:left="360"/>
              <w:rPr>
                <w:rFonts w:ascii="Arial" w:eastAsia="Times New Roman" w:hAnsi="Arial" w:cs="Arial"/>
                <w:b/>
                <w:lang w:eastAsia="pl-PL"/>
              </w:rPr>
            </w:pPr>
          </w:p>
        </w:tc>
        <w:tc>
          <w:tcPr>
            <w:tcW w:w="1428" w:type="dxa"/>
            <w:tcBorders>
              <w:left w:val="single" w:sz="4" w:space="0" w:color="auto"/>
            </w:tcBorders>
            <w:shd w:val="clear" w:color="auto" w:fill="auto"/>
          </w:tcPr>
          <w:p w:rsidR="0073046A" w:rsidRPr="005A7D9F" w:rsidRDefault="0073046A" w:rsidP="004636D0">
            <w:pPr>
              <w:spacing w:after="0"/>
              <w:ind w:left="360"/>
              <w:rPr>
                <w:rFonts w:ascii="Arial" w:eastAsia="Times New Roman" w:hAnsi="Arial" w:cs="Arial"/>
                <w:b/>
                <w:lang w:eastAsia="pl-PL"/>
              </w:rPr>
            </w:pPr>
          </w:p>
        </w:tc>
        <w:tc>
          <w:tcPr>
            <w:tcW w:w="2835" w:type="dxa"/>
            <w:shd w:val="clear" w:color="auto" w:fill="auto"/>
          </w:tcPr>
          <w:p w:rsidR="0073046A" w:rsidRPr="005A7D9F" w:rsidRDefault="0073046A" w:rsidP="004636D0">
            <w:pPr>
              <w:spacing w:after="0"/>
              <w:ind w:left="360"/>
              <w:rPr>
                <w:rFonts w:ascii="Arial" w:eastAsia="Times New Roman" w:hAnsi="Arial" w:cs="Arial"/>
                <w:b/>
                <w:lang w:eastAsia="pl-PL"/>
              </w:rPr>
            </w:pPr>
          </w:p>
        </w:tc>
      </w:tr>
      <w:tr w:rsidR="0073046A" w:rsidRPr="005A7D9F" w:rsidTr="004636D0">
        <w:tc>
          <w:tcPr>
            <w:tcW w:w="2411" w:type="dxa"/>
            <w:shd w:val="clear" w:color="auto" w:fill="auto"/>
          </w:tcPr>
          <w:p w:rsidR="0073046A" w:rsidRPr="005A7D9F" w:rsidRDefault="0073046A" w:rsidP="004636D0">
            <w:pPr>
              <w:spacing w:after="0"/>
              <w:ind w:left="360"/>
              <w:rPr>
                <w:rFonts w:ascii="Arial" w:eastAsia="Times New Roman" w:hAnsi="Arial" w:cs="Arial"/>
                <w:b/>
                <w:lang w:eastAsia="pl-PL"/>
              </w:rPr>
            </w:pPr>
          </w:p>
          <w:p w:rsidR="0073046A" w:rsidRPr="005A7D9F" w:rsidRDefault="0073046A" w:rsidP="004636D0">
            <w:pPr>
              <w:spacing w:after="0"/>
              <w:ind w:left="360"/>
              <w:rPr>
                <w:rFonts w:ascii="Arial" w:eastAsia="Times New Roman" w:hAnsi="Arial" w:cs="Arial"/>
                <w:b/>
                <w:lang w:eastAsia="pl-PL"/>
              </w:rPr>
            </w:pPr>
          </w:p>
        </w:tc>
        <w:tc>
          <w:tcPr>
            <w:tcW w:w="2268" w:type="dxa"/>
            <w:shd w:val="clear" w:color="auto" w:fill="auto"/>
          </w:tcPr>
          <w:p w:rsidR="0073046A" w:rsidRPr="005A7D9F" w:rsidRDefault="0073046A" w:rsidP="004636D0">
            <w:pPr>
              <w:spacing w:after="0"/>
              <w:ind w:left="360"/>
              <w:rPr>
                <w:rFonts w:ascii="Arial" w:eastAsia="Times New Roman" w:hAnsi="Arial" w:cs="Arial"/>
                <w:b/>
                <w:lang w:eastAsia="pl-PL"/>
              </w:rPr>
            </w:pPr>
          </w:p>
        </w:tc>
        <w:tc>
          <w:tcPr>
            <w:tcW w:w="1690" w:type="dxa"/>
            <w:tcBorders>
              <w:right w:val="single" w:sz="4" w:space="0" w:color="auto"/>
            </w:tcBorders>
            <w:shd w:val="clear" w:color="auto" w:fill="auto"/>
          </w:tcPr>
          <w:p w:rsidR="0073046A" w:rsidRPr="005A7D9F" w:rsidRDefault="0073046A" w:rsidP="004636D0">
            <w:pPr>
              <w:spacing w:after="0"/>
              <w:ind w:left="360"/>
              <w:rPr>
                <w:rFonts w:ascii="Arial" w:eastAsia="Times New Roman" w:hAnsi="Arial" w:cs="Arial"/>
                <w:b/>
                <w:lang w:eastAsia="pl-PL"/>
              </w:rPr>
            </w:pPr>
          </w:p>
        </w:tc>
        <w:tc>
          <w:tcPr>
            <w:tcW w:w="1428" w:type="dxa"/>
            <w:tcBorders>
              <w:left w:val="single" w:sz="4" w:space="0" w:color="auto"/>
            </w:tcBorders>
            <w:shd w:val="clear" w:color="auto" w:fill="auto"/>
          </w:tcPr>
          <w:p w:rsidR="0073046A" w:rsidRPr="005A7D9F" w:rsidRDefault="0073046A" w:rsidP="004636D0">
            <w:pPr>
              <w:spacing w:after="0"/>
              <w:ind w:left="360"/>
              <w:rPr>
                <w:rFonts w:ascii="Arial" w:eastAsia="Times New Roman" w:hAnsi="Arial" w:cs="Arial"/>
                <w:b/>
                <w:lang w:eastAsia="pl-PL"/>
              </w:rPr>
            </w:pPr>
          </w:p>
        </w:tc>
        <w:tc>
          <w:tcPr>
            <w:tcW w:w="2835" w:type="dxa"/>
            <w:shd w:val="clear" w:color="auto" w:fill="auto"/>
          </w:tcPr>
          <w:p w:rsidR="0073046A" w:rsidRPr="005A7D9F" w:rsidRDefault="0073046A" w:rsidP="004636D0">
            <w:pPr>
              <w:spacing w:after="0"/>
              <w:ind w:left="360"/>
              <w:rPr>
                <w:rFonts w:ascii="Arial" w:eastAsia="Times New Roman" w:hAnsi="Arial" w:cs="Arial"/>
                <w:b/>
                <w:lang w:eastAsia="pl-PL"/>
              </w:rPr>
            </w:pPr>
          </w:p>
        </w:tc>
      </w:tr>
      <w:tr w:rsidR="0073046A" w:rsidRPr="005A7D9F" w:rsidTr="004636D0">
        <w:tc>
          <w:tcPr>
            <w:tcW w:w="2411" w:type="dxa"/>
            <w:shd w:val="clear" w:color="auto" w:fill="auto"/>
          </w:tcPr>
          <w:p w:rsidR="0073046A" w:rsidRPr="005A7D9F" w:rsidRDefault="0073046A" w:rsidP="004636D0">
            <w:pPr>
              <w:spacing w:after="0"/>
              <w:ind w:left="360"/>
              <w:rPr>
                <w:rFonts w:ascii="Arial" w:eastAsia="Times New Roman" w:hAnsi="Arial" w:cs="Arial"/>
                <w:b/>
                <w:lang w:eastAsia="pl-PL"/>
              </w:rPr>
            </w:pPr>
          </w:p>
          <w:p w:rsidR="0073046A" w:rsidRPr="005A7D9F" w:rsidRDefault="0073046A" w:rsidP="004636D0">
            <w:pPr>
              <w:spacing w:after="0"/>
              <w:ind w:left="360"/>
              <w:rPr>
                <w:rFonts w:ascii="Arial" w:eastAsia="Times New Roman" w:hAnsi="Arial" w:cs="Arial"/>
                <w:b/>
                <w:lang w:eastAsia="pl-PL"/>
              </w:rPr>
            </w:pPr>
          </w:p>
        </w:tc>
        <w:tc>
          <w:tcPr>
            <w:tcW w:w="2268" w:type="dxa"/>
            <w:shd w:val="clear" w:color="auto" w:fill="auto"/>
          </w:tcPr>
          <w:p w:rsidR="0073046A" w:rsidRPr="005A7D9F" w:rsidRDefault="0073046A" w:rsidP="004636D0">
            <w:pPr>
              <w:spacing w:after="0"/>
              <w:ind w:left="360"/>
              <w:rPr>
                <w:rFonts w:ascii="Arial" w:eastAsia="Times New Roman" w:hAnsi="Arial" w:cs="Arial"/>
                <w:b/>
                <w:lang w:eastAsia="pl-PL"/>
              </w:rPr>
            </w:pPr>
          </w:p>
        </w:tc>
        <w:tc>
          <w:tcPr>
            <w:tcW w:w="1690" w:type="dxa"/>
            <w:tcBorders>
              <w:right w:val="single" w:sz="4" w:space="0" w:color="auto"/>
            </w:tcBorders>
            <w:shd w:val="clear" w:color="auto" w:fill="auto"/>
          </w:tcPr>
          <w:p w:rsidR="0073046A" w:rsidRPr="005A7D9F" w:rsidRDefault="0073046A" w:rsidP="004636D0">
            <w:pPr>
              <w:spacing w:after="0"/>
              <w:ind w:left="360"/>
              <w:rPr>
                <w:rFonts w:ascii="Arial" w:eastAsia="Times New Roman" w:hAnsi="Arial" w:cs="Arial"/>
                <w:b/>
                <w:lang w:eastAsia="pl-PL"/>
              </w:rPr>
            </w:pPr>
          </w:p>
        </w:tc>
        <w:tc>
          <w:tcPr>
            <w:tcW w:w="1428" w:type="dxa"/>
            <w:tcBorders>
              <w:left w:val="single" w:sz="4" w:space="0" w:color="auto"/>
            </w:tcBorders>
            <w:shd w:val="clear" w:color="auto" w:fill="auto"/>
          </w:tcPr>
          <w:p w:rsidR="0073046A" w:rsidRPr="005A7D9F" w:rsidRDefault="0073046A" w:rsidP="004636D0">
            <w:pPr>
              <w:spacing w:after="0"/>
              <w:ind w:left="360"/>
              <w:rPr>
                <w:rFonts w:ascii="Arial" w:eastAsia="Times New Roman" w:hAnsi="Arial" w:cs="Arial"/>
                <w:b/>
                <w:lang w:eastAsia="pl-PL"/>
              </w:rPr>
            </w:pPr>
          </w:p>
        </w:tc>
        <w:tc>
          <w:tcPr>
            <w:tcW w:w="2835" w:type="dxa"/>
            <w:shd w:val="clear" w:color="auto" w:fill="auto"/>
          </w:tcPr>
          <w:p w:rsidR="0073046A" w:rsidRPr="005A7D9F" w:rsidRDefault="0073046A" w:rsidP="004636D0">
            <w:pPr>
              <w:spacing w:after="0"/>
              <w:ind w:left="360"/>
              <w:rPr>
                <w:rFonts w:ascii="Arial" w:eastAsia="Times New Roman" w:hAnsi="Arial" w:cs="Arial"/>
                <w:b/>
                <w:lang w:eastAsia="pl-PL"/>
              </w:rPr>
            </w:pPr>
          </w:p>
        </w:tc>
      </w:tr>
      <w:tr w:rsidR="0073046A" w:rsidRPr="005A7D9F" w:rsidTr="004636D0">
        <w:tc>
          <w:tcPr>
            <w:tcW w:w="2411" w:type="dxa"/>
            <w:shd w:val="clear" w:color="auto" w:fill="auto"/>
          </w:tcPr>
          <w:p w:rsidR="0073046A" w:rsidRPr="005A7D9F" w:rsidRDefault="0073046A" w:rsidP="004636D0">
            <w:pPr>
              <w:spacing w:after="0"/>
              <w:ind w:left="360"/>
              <w:rPr>
                <w:rFonts w:ascii="Arial" w:eastAsia="Times New Roman" w:hAnsi="Arial" w:cs="Arial"/>
                <w:b/>
                <w:lang w:eastAsia="pl-PL"/>
              </w:rPr>
            </w:pPr>
          </w:p>
          <w:p w:rsidR="0073046A" w:rsidRPr="005A7D9F" w:rsidRDefault="0073046A" w:rsidP="004636D0">
            <w:pPr>
              <w:spacing w:after="0"/>
              <w:ind w:left="360"/>
              <w:rPr>
                <w:rFonts w:ascii="Arial" w:eastAsia="Times New Roman" w:hAnsi="Arial" w:cs="Arial"/>
                <w:b/>
                <w:lang w:eastAsia="pl-PL"/>
              </w:rPr>
            </w:pPr>
          </w:p>
        </w:tc>
        <w:tc>
          <w:tcPr>
            <w:tcW w:w="2268" w:type="dxa"/>
            <w:shd w:val="clear" w:color="auto" w:fill="auto"/>
          </w:tcPr>
          <w:p w:rsidR="0073046A" w:rsidRPr="005A7D9F" w:rsidRDefault="0073046A" w:rsidP="004636D0">
            <w:pPr>
              <w:spacing w:after="0"/>
              <w:ind w:left="360"/>
              <w:rPr>
                <w:rFonts w:ascii="Arial" w:eastAsia="Times New Roman" w:hAnsi="Arial" w:cs="Arial"/>
                <w:b/>
                <w:lang w:eastAsia="pl-PL"/>
              </w:rPr>
            </w:pPr>
          </w:p>
        </w:tc>
        <w:tc>
          <w:tcPr>
            <w:tcW w:w="1690" w:type="dxa"/>
            <w:tcBorders>
              <w:right w:val="single" w:sz="4" w:space="0" w:color="auto"/>
            </w:tcBorders>
            <w:shd w:val="clear" w:color="auto" w:fill="auto"/>
          </w:tcPr>
          <w:p w:rsidR="0073046A" w:rsidRPr="005A7D9F" w:rsidRDefault="0073046A" w:rsidP="004636D0">
            <w:pPr>
              <w:spacing w:after="0"/>
              <w:ind w:left="360"/>
              <w:rPr>
                <w:rFonts w:ascii="Arial" w:eastAsia="Times New Roman" w:hAnsi="Arial" w:cs="Arial"/>
                <w:b/>
                <w:lang w:eastAsia="pl-PL"/>
              </w:rPr>
            </w:pPr>
          </w:p>
        </w:tc>
        <w:tc>
          <w:tcPr>
            <w:tcW w:w="1428" w:type="dxa"/>
            <w:tcBorders>
              <w:left w:val="single" w:sz="4" w:space="0" w:color="auto"/>
            </w:tcBorders>
            <w:shd w:val="clear" w:color="auto" w:fill="auto"/>
          </w:tcPr>
          <w:p w:rsidR="0073046A" w:rsidRPr="005A7D9F" w:rsidRDefault="0073046A" w:rsidP="004636D0">
            <w:pPr>
              <w:spacing w:after="0"/>
              <w:ind w:left="360"/>
              <w:rPr>
                <w:rFonts w:ascii="Arial" w:eastAsia="Times New Roman" w:hAnsi="Arial" w:cs="Arial"/>
                <w:b/>
                <w:lang w:eastAsia="pl-PL"/>
              </w:rPr>
            </w:pPr>
          </w:p>
        </w:tc>
        <w:tc>
          <w:tcPr>
            <w:tcW w:w="2835" w:type="dxa"/>
            <w:shd w:val="clear" w:color="auto" w:fill="auto"/>
          </w:tcPr>
          <w:p w:rsidR="0073046A" w:rsidRPr="005A7D9F" w:rsidRDefault="0073046A" w:rsidP="004636D0">
            <w:pPr>
              <w:spacing w:after="0"/>
              <w:ind w:left="360"/>
              <w:rPr>
                <w:rFonts w:ascii="Arial" w:eastAsia="Times New Roman" w:hAnsi="Arial" w:cs="Arial"/>
                <w:b/>
                <w:lang w:eastAsia="pl-PL"/>
              </w:rPr>
            </w:pPr>
          </w:p>
        </w:tc>
      </w:tr>
      <w:tr w:rsidR="0073046A" w:rsidRPr="005A7D9F" w:rsidTr="004636D0">
        <w:tc>
          <w:tcPr>
            <w:tcW w:w="2411" w:type="dxa"/>
            <w:shd w:val="clear" w:color="auto" w:fill="auto"/>
          </w:tcPr>
          <w:p w:rsidR="0073046A" w:rsidRPr="005A7D9F" w:rsidRDefault="0073046A" w:rsidP="004636D0">
            <w:pPr>
              <w:spacing w:after="0"/>
              <w:ind w:left="360"/>
              <w:rPr>
                <w:rFonts w:ascii="Arial" w:eastAsia="Times New Roman" w:hAnsi="Arial" w:cs="Arial"/>
                <w:b/>
                <w:lang w:eastAsia="pl-PL"/>
              </w:rPr>
            </w:pPr>
          </w:p>
          <w:p w:rsidR="0073046A" w:rsidRPr="005A7D9F" w:rsidRDefault="0073046A" w:rsidP="004636D0">
            <w:pPr>
              <w:spacing w:after="0"/>
              <w:ind w:left="360"/>
              <w:rPr>
                <w:rFonts w:ascii="Arial" w:eastAsia="Times New Roman" w:hAnsi="Arial" w:cs="Arial"/>
                <w:b/>
                <w:lang w:eastAsia="pl-PL"/>
              </w:rPr>
            </w:pPr>
          </w:p>
        </w:tc>
        <w:tc>
          <w:tcPr>
            <w:tcW w:w="2268" w:type="dxa"/>
            <w:shd w:val="clear" w:color="auto" w:fill="auto"/>
          </w:tcPr>
          <w:p w:rsidR="0073046A" w:rsidRPr="005A7D9F" w:rsidRDefault="0073046A" w:rsidP="004636D0">
            <w:pPr>
              <w:spacing w:after="0"/>
              <w:ind w:left="360"/>
              <w:rPr>
                <w:rFonts w:ascii="Arial" w:eastAsia="Times New Roman" w:hAnsi="Arial" w:cs="Arial"/>
                <w:b/>
                <w:lang w:eastAsia="pl-PL"/>
              </w:rPr>
            </w:pPr>
          </w:p>
        </w:tc>
        <w:tc>
          <w:tcPr>
            <w:tcW w:w="1690" w:type="dxa"/>
            <w:tcBorders>
              <w:right w:val="single" w:sz="4" w:space="0" w:color="auto"/>
            </w:tcBorders>
            <w:shd w:val="clear" w:color="auto" w:fill="auto"/>
          </w:tcPr>
          <w:p w:rsidR="0073046A" w:rsidRPr="005A7D9F" w:rsidRDefault="0073046A" w:rsidP="004636D0">
            <w:pPr>
              <w:spacing w:after="0"/>
              <w:ind w:left="360"/>
              <w:rPr>
                <w:rFonts w:ascii="Arial" w:eastAsia="Times New Roman" w:hAnsi="Arial" w:cs="Arial"/>
                <w:b/>
                <w:lang w:eastAsia="pl-PL"/>
              </w:rPr>
            </w:pPr>
          </w:p>
        </w:tc>
        <w:tc>
          <w:tcPr>
            <w:tcW w:w="1428" w:type="dxa"/>
            <w:tcBorders>
              <w:left w:val="single" w:sz="4" w:space="0" w:color="auto"/>
            </w:tcBorders>
            <w:shd w:val="clear" w:color="auto" w:fill="auto"/>
          </w:tcPr>
          <w:p w:rsidR="0073046A" w:rsidRPr="005A7D9F" w:rsidRDefault="0073046A" w:rsidP="004636D0">
            <w:pPr>
              <w:spacing w:after="0"/>
              <w:ind w:left="360"/>
              <w:rPr>
                <w:rFonts w:ascii="Arial" w:eastAsia="Times New Roman" w:hAnsi="Arial" w:cs="Arial"/>
                <w:b/>
                <w:lang w:eastAsia="pl-PL"/>
              </w:rPr>
            </w:pPr>
          </w:p>
        </w:tc>
        <w:tc>
          <w:tcPr>
            <w:tcW w:w="2835" w:type="dxa"/>
            <w:shd w:val="clear" w:color="auto" w:fill="auto"/>
          </w:tcPr>
          <w:p w:rsidR="0073046A" w:rsidRPr="005A7D9F" w:rsidRDefault="0073046A" w:rsidP="004636D0">
            <w:pPr>
              <w:spacing w:after="0"/>
              <w:ind w:left="360"/>
              <w:rPr>
                <w:rFonts w:ascii="Arial" w:eastAsia="Times New Roman" w:hAnsi="Arial" w:cs="Arial"/>
                <w:b/>
                <w:lang w:eastAsia="pl-PL"/>
              </w:rPr>
            </w:pPr>
          </w:p>
        </w:tc>
      </w:tr>
    </w:tbl>
    <w:p w:rsidR="0073046A" w:rsidRPr="005A7D9F" w:rsidRDefault="0073046A" w:rsidP="0073046A">
      <w:pPr>
        <w:spacing w:after="0" w:line="240" w:lineRule="auto"/>
        <w:ind w:hanging="993"/>
        <w:contextualSpacing/>
        <w:jc w:val="both"/>
        <w:rPr>
          <w:rFonts w:ascii="Arial" w:eastAsia="SimSun" w:hAnsi="Arial" w:cs="Arial"/>
          <w:color w:val="000000"/>
          <w:u w:val="single"/>
          <w:lang w:eastAsia="zh-CN"/>
        </w:rPr>
      </w:pPr>
    </w:p>
    <w:p w:rsidR="0073046A" w:rsidRPr="005F4BD9" w:rsidRDefault="0073046A" w:rsidP="0073046A">
      <w:pPr>
        <w:tabs>
          <w:tab w:val="left" w:pos="-426"/>
        </w:tabs>
        <w:spacing w:after="0" w:line="240" w:lineRule="auto"/>
        <w:ind w:hanging="851"/>
        <w:contextualSpacing/>
        <w:jc w:val="both"/>
        <w:rPr>
          <w:rFonts w:ascii="Arial" w:eastAsia="SimSun" w:hAnsi="Arial" w:cs="Arial"/>
          <w:b/>
          <w:color w:val="000000"/>
          <w:sz w:val="20"/>
          <w:szCs w:val="20"/>
          <w:u w:val="single"/>
          <w:lang w:eastAsia="zh-CN"/>
        </w:rPr>
      </w:pPr>
      <w:r w:rsidRPr="005A7D9F">
        <w:rPr>
          <w:rFonts w:ascii="Arial" w:eastAsia="SimSun" w:hAnsi="Arial" w:cs="Arial"/>
          <w:color w:val="000000"/>
          <w:lang w:eastAsia="zh-CN"/>
        </w:rPr>
        <w:t xml:space="preserve">* </w:t>
      </w:r>
      <w:r w:rsidRPr="005F4BD9">
        <w:rPr>
          <w:rFonts w:ascii="Arial" w:eastAsia="SimSun" w:hAnsi="Arial" w:cs="Arial"/>
          <w:b/>
          <w:color w:val="000000"/>
          <w:sz w:val="20"/>
          <w:szCs w:val="20"/>
          <w:u w:val="single"/>
          <w:lang w:eastAsia="zh-CN"/>
        </w:rPr>
        <w:t>Zamawiający</w:t>
      </w:r>
      <w:r w:rsidRPr="005F4BD9">
        <w:rPr>
          <w:rFonts w:ascii="Arial" w:eastAsia="SimSun" w:hAnsi="Arial" w:cs="Arial"/>
          <w:b/>
          <w:color w:val="000000"/>
          <w:sz w:val="20"/>
          <w:szCs w:val="20"/>
          <w:lang w:eastAsia="zh-CN"/>
        </w:rPr>
        <w:t xml:space="preserve"> – zgodnie z zapisami Rozdziału III SIWZ </w:t>
      </w:r>
      <w:r>
        <w:rPr>
          <w:rFonts w:ascii="Arial" w:eastAsia="SimSun" w:hAnsi="Arial" w:cs="Arial"/>
          <w:b/>
          <w:color w:val="000000"/>
          <w:sz w:val="20"/>
          <w:szCs w:val="20"/>
          <w:u w:val="single"/>
          <w:lang w:eastAsia="zh-CN"/>
        </w:rPr>
        <w:t xml:space="preserve">wymaga od Wykonawcy oferującego </w:t>
      </w:r>
      <w:r w:rsidRPr="005F4BD9">
        <w:rPr>
          <w:rFonts w:ascii="Arial" w:eastAsia="SimSun" w:hAnsi="Arial" w:cs="Arial"/>
          <w:b/>
          <w:color w:val="000000"/>
          <w:sz w:val="20"/>
          <w:szCs w:val="20"/>
          <w:u w:val="single"/>
          <w:lang w:eastAsia="zh-CN"/>
        </w:rPr>
        <w:t>materiały eksploatacyjne równoważne</w:t>
      </w:r>
      <w:r w:rsidRPr="005F4BD9">
        <w:rPr>
          <w:rFonts w:ascii="Arial" w:eastAsia="SimSun" w:hAnsi="Arial" w:cs="Arial"/>
          <w:b/>
          <w:color w:val="000000"/>
          <w:sz w:val="20"/>
          <w:szCs w:val="20"/>
          <w:lang w:eastAsia="zh-CN"/>
        </w:rPr>
        <w:t xml:space="preserve"> – w celu wykaz</w:t>
      </w:r>
      <w:r>
        <w:rPr>
          <w:rFonts w:ascii="Arial" w:eastAsia="SimSun" w:hAnsi="Arial" w:cs="Arial"/>
          <w:b/>
          <w:color w:val="000000"/>
          <w:sz w:val="20"/>
          <w:szCs w:val="20"/>
          <w:lang w:eastAsia="zh-CN"/>
        </w:rPr>
        <w:t xml:space="preserve">ania równoważności materiałów w </w:t>
      </w:r>
      <w:r w:rsidRPr="005F4BD9">
        <w:rPr>
          <w:rFonts w:ascii="Arial" w:eastAsia="SimSun" w:hAnsi="Arial" w:cs="Arial"/>
          <w:b/>
          <w:color w:val="000000"/>
          <w:sz w:val="20"/>
          <w:szCs w:val="20"/>
          <w:lang w:eastAsia="zh-CN"/>
        </w:rPr>
        <w:t xml:space="preserve">stosunku do produktów wskazanych w SIWZ - </w:t>
      </w:r>
      <w:r w:rsidRPr="005F4BD9">
        <w:rPr>
          <w:rFonts w:ascii="Arial" w:eastAsia="SimSun" w:hAnsi="Arial" w:cs="Arial"/>
          <w:b/>
          <w:color w:val="000000"/>
          <w:sz w:val="20"/>
          <w:szCs w:val="20"/>
          <w:u w:val="single"/>
          <w:lang w:eastAsia="zh-CN"/>
        </w:rPr>
        <w:t>wpisania w kolumnie</w:t>
      </w:r>
      <w:r w:rsidRPr="005F4BD9">
        <w:rPr>
          <w:rFonts w:ascii="Arial" w:eastAsia="SimSun" w:hAnsi="Arial" w:cs="Arial"/>
          <w:b/>
          <w:color w:val="000000"/>
          <w:sz w:val="20"/>
          <w:szCs w:val="20"/>
          <w:lang w:eastAsia="zh-CN"/>
        </w:rPr>
        <w:t xml:space="preserve"> „Zakres równoważności” konkretnych informacji tj.: co najmniej następujących </w:t>
      </w:r>
      <w:r w:rsidRPr="005F4BD9">
        <w:rPr>
          <w:rFonts w:ascii="Arial" w:eastAsia="SimSun" w:hAnsi="Arial" w:cs="Arial"/>
          <w:b/>
          <w:color w:val="000000"/>
          <w:sz w:val="20"/>
          <w:szCs w:val="20"/>
          <w:u w:val="single"/>
          <w:lang w:eastAsia="zh-CN"/>
        </w:rPr>
        <w:t>parametrów technicznych  identyfikujących oferowany materiał równoważny: pojemność, wydajność oraz wykaz urządzeń, do których proponowany produkt może być zastosowany, zgodnie z przeznaczeniem producenta oferowanych materiałów</w:t>
      </w:r>
      <w:r w:rsidRPr="005F4BD9">
        <w:rPr>
          <w:rFonts w:ascii="Arial" w:eastAsia="SimSun" w:hAnsi="Arial" w:cs="Arial"/>
          <w:b/>
          <w:color w:val="000000"/>
          <w:sz w:val="20"/>
          <w:szCs w:val="20"/>
          <w:lang w:eastAsia="zh-CN"/>
        </w:rPr>
        <w:t xml:space="preserve"> – </w:t>
      </w:r>
      <w:r w:rsidRPr="005F4BD9">
        <w:rPr>
          <w:rFonts w:ascii="Arial" w:eastAsia="SimSun" w:hAnsi="Arial" w:cs="Arial"/>
          <w:b/>
          <w:color w:val="000000"/>
          <w:sz w:val="20"/>
          <w:szCs w:val="20"/>
          <w:u w:val="single"/>
          <w:lang w:eastAsia="zh-CN"/>
        </w:rPr>
        <w:t>w odniesieniu do każdej pozycji asortymentowej oddzielnie.</w:t>
      </w:r>
    </w:p>
    <w:p w:rsidR="0073046A" w:rsidRPr="005A7D9F" w:rsidRDefault="0073046A" w:rsidP="0073046A">
      <w:pPr>
        <w:spacing w:after="0" w:line="240" w:lineRule="auto"/>
        <w:ind w:hanging="993"/>
        <w:contextualSpacing/>
        <w:jc w:val="both"/>
        <w:rPr>
          <w:rFonts w:ascii="Arial" w:eastAsia="SimSun" w:hAnsi="Arial" w:cs="Arial"/>
          <w:b/>
          <w:color w:val="000000"/>
          <w:u w:val="single"/>
          <w:lang w:eastAsia="zh-CN"/>
        </w:rPr>
      </w:pPr>
    </w:p>
    <w:p w:rsidR="0073046A" w:rsidRPr="005F4BD9" w:rsidRDefault="0073046A" w:rsidP="0073046A">
      <w:pPr>
        <w:spacing w:after="0" w:line="240" w:lineRule="auto"/>
        <w:ind w:hanging="993"/>
        <w:contextualSpacing/>
        <w:jc w:val="both"/>
        <w:rPr>
          <w:rFonts w:ascii="Arial" w:eastAsia="SimSun" w:hAnsi="Arial" w:cs="Arial"/>
          <w:b/>
          <w:color w:val="000000"/>
          <w:sz w:val="18"/>
          <w:szCs w:val="18"/>
          <w:lang w:eastAsia="zh-CN"/>
        </w:rPr>
      </w:pPr>
      <w:r w:rsidRPr="005F4BD9">
        <w:rPr>
          <w:rFonts w:ascii="Arial" w:eastAsia="SimSun" w:hAnsi="Arial" w:cs="Arial"/>
          <w:b/>
          <w:color w:val="000000"/>
          <w:sz w:val="18"/>
          <w:szCs w:val="18"/>
          <w:lang w:eastAsia="zh-CN"/>
        </w:rPr>
        <w:t>Uwaga:</w:t>
      </w:r>
    </w:p>
    <w:p w:rsidR="0073046A" w:rsidRPr="005F4BD9" w:rsidRDefault="0073046A" w:rsidP="0073046A">
      <w:pPr>
        <w:pStyle w:val="Akapitzlist"/>
        <w:numPr>
          <w:ilvl w:val="0"/>
          <w:numId w:val="2"/>
        </w:numPr>
        <w:spacing w:after="0" w:line="240" w:lineRule="auto"/>
        <w:jc w:val="both"/>
        <w:rPr>
          <w:rFonts w:ascii="Arial" w:eastAsia="SimSun" w:hAnsi="Arial" w:cs="Arial"/>
          <w:b/>
          <w:color w:val="000000"/>
          <w:sz w:val="18"/>
          <w:szCs w:val="18"/>
          <w:lang w:eastAsia="zh-CN"/>
        </w:rPr>
      </w:pPr>
      <w:r w:rsidRPr="005F4BD9">
        <w:rPr>
          <w:rFonts w:ascii="Arial" w:eastAsia="SimSun" w:hAnsi="Arial" w:cs="Arial"/>
          <w:sz w:val="18"/>
          <w:szCs w:val="18"/>
          <w:lang w:eastAsia="zh-CN"/>
        </w:rPr>
        <w:t>Zamawiający dopuszcza zaoferowanie materiałów równoważnych pod warunkiem że:</w:t>
      </w:r>
    </w:p>
    <w:p w:rsidR="0073046A" w:rsidRPr="005F4BD9" w:rsidRDefault="0073046A" w:rsidP="0073046A">
      <w:pPr>
        <w:numPr>
          <w:ilvl w:val="0"/>
          <w:numId w:val="3"/>
        </w:numPr>
        <w:autoSpaceDE w:val="0"/>
        <w:autoSpaceDN w:val="0"/>
        <w:adjustRightInd w:val="0"/>
        <w:spacing w:after="0" w:line="240" w:lineRule="auto"/>
        <w:jc w:val="both"/>
        <w:rPr>
          <w:rFonts w:ascii="Arial" w:eastAsia="SimSun" w:hAnsi="Arial" w:cs="Arial"/>
          <w:sz w:val="18"/>
          <w:szCs w:val="18"/>
          <w:lang w:eastAsia="zh-CN"/>
        </w:rPr>
      </w:pPr>
      <w:r w:rsidRPr="005F4BD9">
        <w:rPr>
          <w:rFonts w:ascii="Arial" w:eastAsia="SimSun" w:hAnsi="Arial" w:cs="Arial"/>
          <w:sz w:val="18"/>
          <w:szCs w:val="18"/>
          <w:lang w:eastAsia="zh-CN"/>
        </w:rPr>
        <w:t>Materiały równoważne muszą być materiałami fabrycznie nowymi. Fabrycznie nowe materiały w tym przypadku oznaczają: produkt, który w nowej formie nie był wcześniej eksploatowany, powstały w cyklu produkcyjnym, wykonany z :</w:t>
      </w:r>
    </w:p>
    <w:p w:rsidR="0073046A" w:rsidRPr="005F4BD9" w:rsidRDefault="0073046A" w:rsidP="0073046A">
      <w:pPr>
        <w:numPr>
          <w:ilvl w:val="0"/>
          <w:numId w:val="1"/>
        </w:numPr>
        <w:spacing w:after="0" w:line="240" w:lineRule="auto"/>
        <w:jc w:val="both"/>
        <w:rPr>
          <w:rFonts w:ascii="Arial" w:eastAsia="SimSun" w:hAnsi="Arial" w:cs="Arial"/>
          <w:sz w:val="18"/>
          <w:szCs w:val="18"/>
          <w:lang w:eastAsia="zh-CN"/>
        </w:rPr>
      </w:pPr>
      <w:r w:rsidRPr="005F4BD9">
        <w:rPr>
          <w:rFonts w:ascii="Arial" w:eastAsia="SimSun" w:hAnsi="Arial" w:cs="Arial"/>
          <w:sz w:val="18"/>
          <w:szCs w:val="18"/>
          <w:lang w:eastAsia="zh-CN"/>
        </w:rPr>
        <w:t xml:space="preserve">nowych elementów wcześniej nie eksploatowanych, nie przerabianych, nie pochodzących z procesu regeneracji lub recyklingu (m.in. nowe bębny, nowe wałki optyczne, nowe listwy zgarniające, nowe elementy uszczelniające, nowe elementy elektroniczne – w tym </w:t>
      </w:r>
      <w:proofErr w:type="spellStart"/>
      <w:r w:rsidRPr="005F4BD9">
        <w:rPr>
          <w:rFonts w:ascii="Arial" w:eastAsia="SimSun" w:hAnsi="Arial" w:cs="Arial"/>
          <w:sz w:val="18"/>
          <w:szCs w:val="18"/>
          <w:lang w:eastAsia="zh-CN"/>
        </w:rPr>
        <w:t>chip’y</w:t>
      </w:r>
      <w:proofErr w:type="spellEnd"/>
      <w:r w:rsidRPr="005F4BD9">
        <w:rPr>
          <w:rFonts w:ascii="Arial" w:eastAsia="SimSun" w:hAnsi="Arial" w:cs="Arial"/>
          <w:sz w:val="18"/>
          <w:szCs w:val="18"/>
          <w:lang w:eastAsia="zh-CN"/>
        </w:rPr>
        <w:t>), elementy nie mogą nosić śladów uszkodzenia ani wcześniejszego użytkowania. Pod pojęciem „recyklingu” Zamawiający rozumie proces wyłaniania części użytkowej (plastikowej obudowy), która posiada wszystkie funkcje i parametry użytkowe w formie niezmiennej i nie wymaga wykonania czynności przywracającej takie funkcje czy parametry. Zabronione jest dokonywanie jakichkolwiek przeróbek.</w:t>
      </w:r>
    </w:p>
    <w:p w:rsidR="0073046A" w:rsidRPr="005F4BD9" w:rsidRDefault="0073046A" w:rsidP="0073046A">
      <w:pPr>
        <w:numPr>
          <w:ilvl w:val="0"/>
          <w:numId w:val="3"/>
        </w:numPr>
        <w:autoSpaceDE w:val="0"/>
        <w:autoSpaceDN w:val="0"/>
        <w:adjustRightInd w:val="0"/>
        <w:spacing w:after="0" w:line="240" w:lineRule="auto"/>
        <w:jc w:val="both"/>
        <w:rPr>
          <w:rFonts w:ascii="Arial" w:eastAsia="SimSun" w:hAnsi="Arial" w:cs="Arial"/>
          <w:b/>
          <w:sz w:val="18"/>
          <w:szCs w:val="18"/>
          <w:lang w:eastAsia="zh-CN"/>
        </w:rPr>
      </w:pPr>
      <w:r w:rsidRPr="005F4BD9">
        <w:rPr>
          <w:rFonts w:ascii="Arial" w:eastAsia="SimSun" w:hAnsi="Arial" w:cs="Arial"/>
          <w:b/>
          <w:sz w:val="18"/>
          <w:szCs w:val="18"/>
          <w:lang w:eastAsia="zh-CN"/>
        </w:rPr>
        <w:t xml:space="preserve">W przypadku oferowania materiałów równoważnych, Wykonawca </w:t>
      </w:r>
      <w:r w:rsidRPr="005F4BD9">
        <w:rPr>
          <w:rFonts w:ascii="Arial" w:eastAsia="SimSun" w:hAnsi="Arial" w:cs="Arial"/>
          <w:b/>
          <w:sz w:val="18"/>
          <w:szCs w:val="18"/>
          <w:lang w:eastAsia="zh-CN"/>
        </w:rPr>
        <w:br/>
        <w:t xml:space="preserve">winien - zgodnie z treścią art. 30 ust. 5 ustawy Prawo zamówień publicznych wykazać, że oferowany towar spełnia wymagania określone przez Zamawiającego. Oferowany produkt równoważny nie może naruszać praw patentowych producentów oryginalnych materiałów. </w:t>
      </w:r>
      <w:r w:rsidRPr="005F4BD9">
        <w:rPr>
          <w:rFonts w:ascii="Arial" w:eastAsia="SimSun" w:hAnsi="Arial" w:cs="Arial"/>
          <w:b/>
          <w:sz w:val="18"/>
          <w:szCs w:val="18"/>
          <w:lang w:eastAsia="zh-CN"/>
        </w:rPr>
        <w:lastRenderedPageBreak/>
        <w:t>W przypadku oferowania materiałów „równoważnych”, ciężar udowodnienia „równoważności” spoczywa na Wykonawcy.</w:t>
      </w:r>
    </w:p>
    <w:p w:rsidR="0073046A" w:rsidRPr="005F4BD9" w:rsidRDefault="0073046A" w:rsidP="0073046A">
      <w:pPr>
        <w:numPr>
          <w:ilvl w:val="0"/>
          <w:numId w:val="3"/>
        </w:numPr>
        <w:autoSpaceDE w:val="0"/>
        <w:autoSpaceDN w:val="0"/>
        <w:adjustRightInd w:val="0"/>
        <w:spacing w:after="0" w:line="240" w:lineRule="auto"/>
        <w:jc w:val="both"/>
        <w:rPr>
          <w:rFonts w:ascii="Arial" w:eastAsia="SimSun" w:hAnsi="Arial" w:cs="Arial"/>
          <w:sz w:val="18"/>
          <w:szCs w:val="18"/>
          <w:lang w:eastAsia="zh-CN"/>
        </w:rPr>
      </w:pPr>
      <w:r w:rsidRPr="005F4BD9">
        <w:rPr>
          <w:rFonts w:ascii="Arial" w:eastAsia="SimSun" w:hAnsi="Arial" w:cs="Arial"/>
          <w:sz w:val="18"/>
          <w:szCs w:val="18"/>
          <w:lang w:eastAsia="zh-CN"/>
        </w:rPr>
        <w:t>posiadają znak firmowy producenta oraz etykiety identyfikujące dany produkt pozwalające na ich identyfikację bez konieczności naruszania opakowania, z wszelkimi zabezpieczeniami stosowanymi przez producentów (np. hologramy) a także w sposób chroniący przed działaniem czynników zewnętrznych (hermetyczne wewnętrzne opakowanie);</w:t>
      </w:r>
    </w:p>
    <w:p w:rsidR="0073046A" w:rsidRPr="005F4BD9" w:rsidRDefault="0073046A" w:rsidP="0073046A">
      <w:pPr>
        <w:numPr>
          <w:ilvl w:val="0"/>
          <w:numId w:val="3"/>
        </w:numPr>
        <w:autoSpaceDE w:val="0"/>
        <w:autoSpaceDN w:val="0"/>
        <w:adjustRightInd w:val="0"/>
        <w:spacing w:after="0" w:line="240" w:lineRule="auto"/>
        <w:jc w:val="both"/>
        <w:rPr>
          <w:rFonts w:ascii="Arial" w:eastAsia="SimSun" w:hAnsi="Arial" w:cs="Arial"/>
          <w:color w:val="FF0000"/>
          <w:sz w:val="18"/>
          <w:szCs w:val="18"/>
          <w:lang w:eastAsia="zh-CN"/>
        </w:rPr>
      </w:pPr>
      <w:r w:rsidRPr="005F4BD9">
        <w:rPr>
          <w:rFonts w:ascii="Arial" w:eastAsia="SimSun" w:hAnsi="Arial" w:cs="Arial"/>
          <w:sz w:val="18"/>
          <w:szCs w:val="18"/>
          <w:lang w:eastAsia="zh-CN"/>
        </w:rPr>
        <w:t>są kompatybilne ze sprzętem, do którego są przeznaczone, o parametrach takich samych bądź lepszych niż odpowiadające im produkty oryginalne (pojemność tuszu/ tonera, ilość uzyskany</w:t>
      </w:r>
      <w:r>
        <w:rPr>
          <w:rFonts w:ascii="Arial" w:eastAsia="SimSun" w:hAnsi="Arial" w:cs="Arial"/>
          <w:sz w:val="18"/>
          <w:szCs w:val="18"/>
          <w:lang w:eastAsia="zh-CN"/>
        </w:rPr>
        <w:t xml:space="preserve">ch kopii nie może być mniejsza </w:t>
      </w:r>
      <w:r w:rsidRPr="005F4BD9">
        <w:rPr>
          <w:rFonts w:ascii="Arial" w:eastAsia="SimSun" w:hAnsi="Arial" w:cs="Arial"/>
          <w:sz w:val="18"/>
          <w:szCs w:val="18"/>
          <w:lang w:eastAsia="zh-CN"/>
        </w:rPr>
        <w:t>niż dla produktów oryginalnych).</w:t>
      </w:r>
    </w:p>
    <w:p w:rsidR="0073046A" w:rsidRPr="005F4BD9" w:rsidRDefault="0073046A" w:rsidP="0073046A">
      <w:pPr>
        <w:pStyle w:val="Akapitzlist"/>
        <w:numPr>
          <w:ilvl w:val="0"/>
          <w:numId w:val="2"/>
        </w:numPr>
        <w:spacing w:after="0" w:line="240" w:lineRule="auto"/>
        <w:jc w:val="both"/>
        <w:rPr>
          <w:rFonts w:ascii="Arial" w:eastAsia="SimSun" w:hAnsi="Arial" w:cs="Arial"/>
          <w:b/>
          <w:sz w:val="18"/>
          <w:szCs w:val="18"/>
          <w:lang w:eastAsia="zh-CN"/>
        </w:rPr>
      </w:pPr>
      <w:r w:rsidRPr="005F4BD9">
        <w:rPr>
          <w:rFonts w:ascii="Arial" w:eastAsia="SimSun" w:hAnsi="Arial" w:cs="Arial"/>
          <w:b/>
          <w:sz w:val="18"/>
          <w:szCs w:val="18"/>
          <w:lang w:eastAsia="zh-CN"/>
        </w:rPr>
        <w:t>W przypadku zaoferowania materiałów równoważnych wymaga się udzielenia dodatkowych informacji w zakresie: pojemność, wydajność oraz wykaz urządzeń, w których może być zaoferowany materiał eksploatacyjny zastosowany.</w:t>
      </w:r>
    </w:p>
    <w:p w:rsidR="0073046A" w:rsidRPr="005F4BD9" w:rsidRDefault="0073046A" w:rsidP="0073046A">
      <w:pPr>
        <w:pStyle w:val="Akapitzlist"/>
        <w:numPr>
          <w:ilvl w:val="0"/>
          <w:numId w:val="2"/>
        </w:numPr>
        <w:spacing w:after="0" w:line="240" w:lineRule="auto"/>
        <w:jc w:val="both"/>
        <w:rPr>
          <w:rFonts w:ascii="Arial" w:eastAsia="SimSun" w:hAnsi="Arial" w:cs="Arial"/>
          <w:sz w:val="18"/>
          <w:szCs w:val="18"/>
          <w:lang w:eastAsia="zh-CN"/>
        </w:rPr>
      </w:pPr>
      <w:r w:rsidRPr="005F4BD9">
        <w:rPr>
          <w:rFonts w:ascii="Arial" w:eastAsia="SimSun" w:hAnsi="Arial" w:cs="Arial"/>
          <w:sz w:val="18"/>
          <w:szCs w:val="18"/>
          <w:lang w:eastAsia="zh-CN"/>
        </w:rPr>
        <w:t>Oferowane równoważne materiały eksploatacyjne nie mogą powodować ograniczeń funkcji i możliwości sprzętu oraz zaniżać jakości wydruku w stosunku do materiałów oryginalnych. Wymagana jest również pełna kompatybilność z oprogramowaniem sprzętu: informowanie o liczbie wydrukowanych stron, poziomie zużycia tonera, tuszu, głowicy – jeśli sprzęt posiada takie możliwości. Po jego zainstalowaniu w sprzęcie na monitorze oraz panelu kontrolnym sprzętu nie mogą pojawiać się żadne negatywne komunikaty. W przypadku kiedy produkt oryginalny posiada układ scalony, który monitoruje proces druku, produkt równoważny winien posiadać analogiczny element działający w ten sam sposób.</w:t>
      </w:r>
      <w:r w:rsidRPr="005F4BD9">
        <w:rPr>
          <w:rFonts w:ascii="Times New Roman" w:eastAsia="Times New Roman" w:hAnsi="Times New Roman" w:cs="Times New Roman"/>
          <w:sz w:val="18"/>
          <w:szCs w:val="18"/>
          <w:lang w:eastAsia="pl-PL"/>
        </w:rPr>
        <w:t xml:space="preserve"> </w:t>
      </w:r>
    </w:p>
    <w:p w:rsidR="0073046A" w:rsidRPr="005F4BD9" w:rsidRDefault="0073046A" w:rsidP="0073046A">
      <w:pPr>
        <w:pStyle w:val="Akapitzlist"/>
        <w:numPr>
          <w:ilvl w:val="0"/>
          <w:numId w:val="2"/>
        </w:numPr>
        <w:spacing w:after="0" w:line="240" w:lineRule="auto"/>
        <w:jc w:val="both"/>
        <w:rPr>
          <w:rFonts w:ascii="Arial" w:hAnsi="Arial" w:cs="Arial"/>
          <w:b/>
          <w:sz w:val="18"/>
          <w:szCs w:val="18"/>
        </w:rPr>
      </w:pPr>
      <w:r w:rsidRPr="005F4BD9">
        <w:rPr>
          <w:rFonts w:ascii="Arial" w:hAnsi="Arial" w:cs="Arial"/>
          <w:b/>
          <w:sz w:val="18"/>
          <w:szCs w:val="18"/>
        </w:rPr>
        <w:t>Wykonawca zobowiązany jest przedstawić na wezwanie Zamawiającego dla wszystkich oferowanych równoważnych materiałów eksploatacyjnych</w:t>
      </w:r>
      <w:r w:rsidRPr="005F4BD9">
        <w:rPr>
          <w:rFonts w:ascii="Arial" w:hAnsi="Arial" w:cs="Arial"/>
          <w:sz w:val="18"/>
          <w:szCs w:val="18"/>
        </w:rPr>
        <w:t xml:space="preserve"> n/w dokumenty:</w:t>
      </w:r>
    </w:p>
    <w:p w:rsidR="0073046A" w:rsidRPr="005F4BD9" w:rsidRDefault="0073046A" w:rsidP="0073046A">
      <w:pPr>
        <w:numPr>
          <w:ilvl w:val="0"/>
          <w:numId w:val="4"/>
        </w:numPr>
        <w:autoSpaceDE w:val="0"/>
        <w:autoSpaceDN w:val="0"/>
        <w:adjustRightInd w:val="0"/>
        <w:spacing w:after="0" w:line="240" w:lineRule="auto"/>
        <w:jc w:val="both"/>
        <w:rPr>
          <w:rFonts w:ascii="Arial" w:eastAsia="SimSun" w:hAnsi="Arial" w:cs="Arial"/>
          <w:sz w:val="18"/>
          <w:szCs w:val="18"/>
          <w:lang w:eastAsia="zh-CN"/>
        </w:rPr>
      </w:pPr>
      <w:r w:rsidRPr="005F4BD9">
        <w:rPr>
          <w:rFonts w:ascii="Arial" w:eastAsia="SimSun" w:hAnsi="Arial" w:cs="Arial"/>
          <w:sz w:val="18"/>
          <w:szCs w:val="18"/>
          <w:lang w:eastAsia="zh-CN"/>
        </w:rPr>
        <w:t>dokumenty potwierdzające zgodność z normami:</w:t>
      </w:r>
    </w:p>
    <w:p w:rsidR="0073046A" w:rsidRPr="005F4BD9" w:rsidRDefault="0073046A" w:rsidP="0073046A">
      <w:pPr>
        <w:numPr>
          <w:ilvl w:val="0"/>
          <w:numId w:val="5"/>
        </w:numPr>
        <w:autoSpaceDE w:val="0"/>
        <w:autoSpaceDN w:val="0"/>
        <w:adjustRightInd w:val="0"/>
        <w:spacing w:after="0" w:line="240" w:lineRule="auto"/>
        <w:jc w:val="both"/>
        <w:rPr>
          <w:rFonts w:ascii="Arial" w:eastAsia="SimSun" w:hAnsi="Arial" w:cs="Arial"/>
          <w:sz w:val="18"/>
          <w:szCs w:val="18"/>
          <w:lang w:eastAsia="zh-CN"/>
        </w:rPr>
      </w:pPr>
      <w:r w:rsidRPr="005F4BD9">
        <w:rPr>
          <w:rFonts w:ascii="Arial" w:eastAsia="SimSun" w:hAnsi="Arial" w:cs="Arial"/>
          <w:sz w:val="18"/>
          <w:szCs w:val="18"/>
          <w:lang w:eastAsia="zh-CN"/>
        </w:rPr>
        <w:t>ISO/IEC 19752 (standard pomiaru wydajności kaset z tonerem przeznaczonym do monochromatycznych drukarek laserowych);</w:t>
      </w:r>
    </w:p>
    <w:p w:rsidR="0073046A" w:rsidRPr="005F4BD9" w:rsidRDefault="0073046A" w:rsidP="0073046A">
      <w:pPr>
        <w:numPr>
          <w:ilvl w:val="0"/>
          <w:numId w:val="5"/>
        </w:numPr>
        <w:autoSpaceDE w:val="0"/>
        <w:autoSpaceDN w:val="0"/>
        <w:adjustRightInd w:val="0"/>
        <w:spacing w:after="0" w:line="240" w:lineRule="auto"/>
        <w:jc w:val="both"/>
        <w:rPr>
          <w:rFonts w:ascii="Arial" w:eastAsia="SimSun" w:hAnsi="Arial" w:cs="Arial"/>
          <w:sz w:val="18"/>
          <w:szCs w:val="18"/>
          <w:lang w:eastAsia="zh-CN"/>
        </w:rPr>
      </w:pPr>
      <w:r w:rsidRPr="005F4BD9">
        <w:rPr>
          <w:rFonts w:ascii="Arial" w:eastAsia="SimSun" w:hAnsi="Arial" w:cs="Arial"/>
          <w:sz w:val="18"/>
          <w:szCs w:val="18"/>
          <w:lang w:eastAsia="zh-CN"/>
        </w:rPr>
        <w:t>ISO/IEC 19798 (standard pomiaru wydajności kaset z tonerem do kolorowych drukarek laserowych);</w:t>
      </w:r>
    </w:p>
    <w:p w:rsidR="0073046A" w:rsidRPr="005F4BD9" w:rsidRDefault="0073046A" w:rsidP="0073046A">
      <w:pPr>
        <w:numPr>
          <w:ilvl w:val="0"/>
          <w:numId w:val="5"/>
        </w:numPr>
        <w:autoSpaceDE w:val="0"/>
        <w:autoSpaceDN w:val="0"/>
        <w:adjustRightInd w:val="0"/>
        <w:spacing w:after="0" w:line="240" w:lineRule="auto"/>
        <w:jc w:val="both"/>
        <w:rPr>
          <w:rFonts w:ascii="Arial" w:eastAsia="SimSun" w:hAnsi="Arial" w:cs="Arial"/>
          <w:sz w:val="18"/>
          <w:szCs w:val="18"/>
          <w:lang w:eastAsia="zh-CN"/>
        </w:rPr>
      </w:pPr>
      <w:r w:rsidRPr="005F4BD9">
        <w:rPr>
          <w:rFonts w:ascii="Arial" w:eastAsia="SimSun" w:hAnsi="Arial" w:cs="Arial"/>
          <w:sz w:val="18"/>
          <w:szCs w:val="18"/>
          <w:lang w:eastAsia="zh-CN"/>
        </w:rPr>
        <w:t>ISO/IEC 24711 (standard określający metodologię badania wydajności kartridżów atramentowych);</w:t>
      </w:r>
    </w:p>
    <w:p w:rsidR="0073046A" w:rsidRPr="005F4BD9" w:rsidRDefault="0073046A" w:rsidP="0073046A">
      <w:pPr>
        <w:numPr>
          <w:ilvl w:val="0"/>
          <w:numId w:val="5"/>
        </w:numPr>
        <w:autoSpaceDE w:val="0"/>
        <w:autoSpaceDN w:val="0"/>
        <w:adjustRightInd w:val="0"/>
        <w:spacing w:after="0" w:line="240" w:lineRule="auto"/>
        <w:jc w:val="both"/>
        <w:rPr>
          <w:rFonts w:ascii="Arial" w:eastAsia="SimSun" w:hAnsi="Arial" w:cs="Arial"/>
          <w:sz w:val="18"/>
          <w:szCs w:val="18"/>
          <w:lang w:eastAsia="zh-CN"/>
        </w:rPr>
      </w:pPr>
      <w:r w:rsidRPr="005F4BD9">
        <w:rPr>
          <w:rFonts w:ascii="Arial" w:eastAsia="Times New Roman" w:hAnsi="Arial" w:cs="Arial"/>
          <w:sz w:val="18"/>
          <w:szCs w:val="18"/>
          <w:lang w:eastAsia="pl-PL"/>
        </w:rPr>
        <w:t>ISO 24712 (standard zawierający wytyczne dotyczące stron testowych).</w:t>
      </w:r>
    </w:p>
    <w:p w:rsidR="0073046A" w:rsidRPr="005F4BD9" w:rsidRDefault="0073046A" w:rsidP="0073046A">
      <w:pPr>
        <w:autoSpaceDE w:val="0"/>
        <w:autoSpaceDN w:val="0"/>
        <w:adjustRightInd w:val="0"/>
        <w:spacing w:after="0" w:line="240" w:lineRule="auto"/>
        <w:jc w:val="both"/>
        <w:rPr>
          <w:rFonts w:ascii="Arial" w:eastAsia="SimSun" w:hAnsi="Arial" w:cs="Arial"/>
          <w:sz w:val="18"/>
          <w:szCs w:val="18"/>
          <w:lang w:eastAsia="zh-CN"/>
        </w:rPr>
      </w:pPr>
      <w:r w:rsidRPr="005F4BD9">
        <w:rPr>
          <w:rFonts w:ascii="Arial" w:eastAsia="Calibri" w:hAnsi="Arial" w:cs="Arial"/>
          <w:bCs/>
          <w:sz w:val="18"/>
          <w:szCs w:val="18"/>
          <w:lang w:eastAsia="zh-CN"/>
        </w:rPr>
        <w:t xml:space="preserve">W/w certyfikaty  potwierdzające zgodność produktów z wymienionymi wyżej normami ISO, winny być wystawione przez </w:t>
      </w:r>
      <w:r w:rsidRPr="005F4BD9">
        <w:rPr>
          <w:rFonts w:ascii="Arial" w:eastAsia="Calibri" w:hAnsi="Arial" w:cs="Arial"/>
          <w:b/>
          <w:bCs/>
          <w:sz w:val="18"/>
          <w:szCs w:val="18"/>
          <w:lang w:eastAsia="zh-CN"/>
        </w:rPr>
        <w:t xml:space="preserve">niezależną akredytowaną jednostkę certyfikującą wyroby jakości  lub </w:t>
      </w:r>
      <w:r w:rsidRPr="005F4BD9">
        <w:rPr>
          <w:rFonts w:ascii="Arial" w:eastAsia="Times New Roman" w:hAnsi="Arial" w:cs="Arial"/>
          <w:b/>
          <w:bCs/>
          <w:sz w:val="18"/>
          <w:szCs w:val="18"/>
          <w:lang w:eastAsia="pl-PL"/>
        </w:rPr>
        <w:t xml:space="preserve">niezależną akredytowaną </w:t>
      </w:r>
      <w:r w:rsidRPr="005F4BD9">
        <w:rPr>
          <w:rFonts w:ascii="Arial" w:eastAsia="Calibri" w:hAnsi="Arial" w:cs="Arial"/>
          <w:b/>
          <w:bCs/>
          <w:sz w:val="18"/>
          <w:szCs w:val="18"/>
          <w:lang w:eastAsia="zh-CN"/>
        </w:rPr>
        <w:t>jednostkę badawczą</w:t>
      </w:r>
      <w:r w:rsidRPr="005F4BD9">
        <w:rPr>
          <w:rFonts w:ascii="Arial" w:eastAsia="Calibri" w:hAnsi="Arial" w:cs="Arial"/>
          <w:bCs/>
          <w:sz w:val="18"/>
          <w:szCs w:val="18"/>
          <w:lang w:eastAsia="zh-CN"/>
        </w:rPr>
        <w:t xml:space="preserve"> oraz winny zawierać formularze z raportu wyników testów pomiaru wydajności, przygotowane zgodnie z normą przez niezależną akredytowaną jednostkę certyfikującą wyroby jakości  lub niezależną akredytowaną jednostkę badawczą. Przez podmiot uprawniony do kontroli jakości rozumie się podmiot zewnętrzny posiadający stosowną akredytację pod kątem wymogów wyżej wymienionych  norm oraz mający siedzibę w państwie członkowskim Europejskiego Obszaru Gospodarczego. </w:t>
      </w:r>
    </w:p>
    <w:p w:rsidR="0073046A" w:rsidRPr="005F4BD9" w:rsidRDefault="0073046A" w:rsidP="0073046A">
      <w:pPr>
        <w:suppressAutoHyphens/>
        <w:autoSpaceDE w:val="0"/>
        <w:spacing w:after="0"/>
        <w:jc w:val="both"/>
        <w:rPr>
          <w:rFonts w:ascii="Arial" w:eastAsia="Calibri" w:hAnsi="Arial" w:cs="Arial"/>
          <w:bCs/>
          <w:sz w:val="18"/>
          <w:szCs w:val="18"/>
          <w:lang w:eastAsia="zh-CN"/>
        </w:rPr>
      </w:pPr>
    </w:p>
    <w:p w:rsidR="0073046A" w:rsidRPr="005F4BD9" w:rsidRDefault="0073046A" w:rsidP="0073046A">
      <w:pPr>
        <w:suppressAutoHyphens/>
        <w:autoSpaceDE w:val="0"/>
        <w:spacing w:after="0"/>
        <w:jc w:val="both"/>
        <w:rPr>
          <w:rFonts w:ascii="Arial" w:eastAsia="Calibri" w:hAnsi="Arial" w:cs="Arial"/>
          <w:bCs/>
          <w:sz w:val="18"/>
          <w:szCs w:val="18"/>
          <w:lang w:eastAsia="zh-CN"/>
        </w:rPr>
      </w:pPr>
      <w:r w:rsidRPr="005F4BD9">
        <w:rPr>
          <w:rFonts w:ascii="Arial" w:eastAsia="Calibri" w:hAnsi="Arial" w:cs="Arial"/>
          <w:bCs/>
          <w:sz w:val="18"/>
          <w:szCs w:val="18"/>
          <w:lang w:eastAsia="zh-CN"/>
        </w:rPr>
        <w:t xml:space="preserve">UWAGA: w celu uniknięcia niejasności, Zamawiający wymaga wskazania w danym dokumencie, </w:t>
      </w:r>
      <w:r w:rsidRPr="005F4BD9">
        <w:rPr>
          <w:rFonts w:ascii="Arial" w:eastAsia="Calibri" w:hAnsi="Arial" w:cs="Arial"/>
          <w:b/>
          <w:bCs/>
          <w:sz w:val="18"/>
          <w:szCs w:val="18"/>
          <w:lang w:eastAsia="zh-CN"/>
        </w:rPr>
        <w:t>której pozycji Wykazu materiałów stanowiących przedmiot zamówienia</w:t>
      </w:r>
      <w:r w:rsidRPr="005F4BD9">
        <w:rPr>
          <w:rFonts w:ascii="Arial" w:eastAsia="Calibri" w:hAnsi="Arial" w:cs="Arial"/>
          <w:bCs/>
          <w:sz w:val="18"/>
          <w:szCs w:val="18"/>
          <w:lang w:eastAsia="zh-CN"/>
        </w:rPr>
        <w:t xml:space="preserve"> dotyczy dany dokument.</w:t>
      </w:r>
    </w:p>
    <w:p w:rsidR="0073046A" w:rsidRPr="005F4BD9" w:rsidRDefault="0073046A" w:rsidP="0073046A">
      <w:pPr>
        <w:numPr>
          <w:ilvl w:val="0"/>
          <w:numId w:val="4"/>
        </w:numPr>
        <w:autoSpaceDE w:val="0"/>
        <w:autoSpaceDN w:val="0"/>
        <w:adjustRightInd w:val="0"/>
        <w:spacing w:after="0" w:line="240" w:lineRule="auto"/>
        <w:jc w:val="both"/>
        <w:rPr>
          <w:rFonts w:ascii="Arial" w:eastAsia="Calibri" w:hAnsi="Arial" w:cs="Arial"/>
          <w:sz w:val="18"/>
          <w:szCs w:val="18"/>
          <w:lang w:eastAsia="zh-CN"/>
        </w:rPr>
      </w:pPr>
      <w:r w:rsidRPr="005F4BD9">
        <w:rPr>
          <w:rFonts w:ascii="Arial" w:eastAsia="Calibri" w:hAnsi="Arial" w:cs="Arial"/>
          <w:sz w:val="18"/>
          <w:szCs w:val="18"/>
          <w:lang w:eastAsia="zh-CN"/>
        </w:rPr>
        <w:t xml:space="preserve">oświadczenie producenta, że oferowane produkty równoważne są wyrobami fabrycznie nowymi, nieregenerowanymi, w pełni kompatybilnymi ze sprzętem, </w:t>
      </w:r>
      <w:r w:rsidRPr="005F4BD9">
        <w:rPr>
          <w:rFonts w:ascii="Arial" w:eastAsia="Calibri" w:hAnsi="Arial" w:cs="Arial"/>
          <w:sz w:val="18"/>
          <w:szCs w:val="18"/>
          <w:lang w:eastAsia="zh-CN"/>
        </w:rPr>
        <w:br/>
        <w:t>do którego są przeznaczone, o parametrach takich samych w stosunku do typu zamawianego produktu stanowiącego przedmiot zamówienia oraz że proces produkcji i stosowanie wyprodukowanych przez niego materiałów eksploatacyjnych nie narusza praw patentowych producentów oryginalnych tonerów, tuszy i kaset, jak również, że użycie tego produktu do serwisowanych w ramach gwarancji urządzeń nie spowoduje uszkodzenia naruszającego warunki gwarancji.</w:t>
      </w:r>
    </w:p>
    <w:p w:rsidR="0073046A" w:rsidRPr="005F4BD9" w:rsidRDefault="0073046A" w:rsidP="0073046A">
      <w:pPr>
        <w:suppressAutoHyphens/>
        <w:spacing w:after="0"/>
        <w:ind w:left="6372"/>
        <w:rPr>
          <w:rFonts w:ascii="Arial" w:eastAsia="Times New Roman" w:hAnsi="Arial" w:cs="Arial"/>
          <w:b/>
          <w:i/>
          <w:sz w:val="18"/>
          <w:szCs w:val="18"/>
          <w:lang w:eastAsia="ar-SA"/>
        </w:rPr>
      </w:pPr>
    </w:p>
    <w:p w:rsidR="0073046A" w:rsidRPr="005F4BD9" w:rsidRDefault="0073046A" w:rsidP="0073046A">
      <w:pPr>
        <w:spacing w:after="120"/>
        <w:ind w:left="5664"/>
        <w:rPr>
          <w:rFonts w:ascii="Arial" w:eastAsia="Times New Roman" w:hAnsi="Arial" w:cs="Arial"/>
          <w:i/>
          <w:sz w:val="18"/>
          <w:szCs w:val="18"/>
          <w:lang w:eastAsia="pl-PL"/>
        </w:rPr>
      </w:pPr>
    </w:p>
    <w:p w:rsidR="0073046A" w:rsidRDefault="0073046A" w:rsidP="0073046A">
      <w:pPr>
        <w:spacing w:after="120"/>
        <w:ind w:left="5664"/>
        <w:rPr>
          <w:rFonts w:ascii="Arial" w:eastAsia="Times New Roman" w:hAnsi="Arial" w:cs="Arial"/>
          <w:i/>
          <w:lang w:eastAsia="pl-PL"/>
        </w:rPr>
      </w:pPr>
    </w:p>
    <w:p w:rsidR="00A61F8D" w:rsidRDefault="00A61F8D"/>
    <w:sectPr w:rsidR="00A61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E6E24"/>
    <w:multiLevelType w:val="hybridMultilevel"/>
    <w:tmpl w:val="8F30D1B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53872C8B"/>
    <w:multiLevelType w:val="hybridMultilevel"/>
    <w:tmpl w:val="2CD8D9E8"/>
    <w:lvl w:ilvl="0" w:tplc="0415000F">
      <w:start w:val="1"/>
      <w:numFmt w:val="decimal"/>
      <w:lvlText w:val="%1."/>
      <w:lvlJc w:val="left"/>
      <w:pPr>
        <w:ind w:left="-273" w:hanging="360"/>
      </w:p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2">
    <w:nsid w:val="62465BFE"/>
    <w:multiLevelType w:val="hybridMultilevel"/>
    <w:tmpl w:val="DC7AE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6DC33226"/>
    <w:multiLevelType w:val="hybridMultilevel"/>
    <w:tmpl w:val="C7E05954"/>
    <w:lvl w:ilvl="0" w:tplc="6A76C0EC">
      <w:start w:val="1"/>
      <w:numFmt w:val="lowerLetter"/>
      <w:lvlText w:val="%1)"/>
      <w:lvlJc w:val="left"/>
      <w:pPr>
        <w:ind w:left="1222" w:hanging="360"/>
      </w:pPr>
      <w:rPr>
        <w:rFonts w:hint="default"/>
        <w:b/>
        <w:color w:val="auto"/>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
    <w:nsid w:val="75581021"/>
    <w:multiLevelType w:val="hybridMultilevel"/>
    <w:tmpl w:val="5CA6C4FC"/>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93"/>
    <w:rsid w:val="0073046A"/>
    <w:rsid w:val="00A61F8D"/>
    <w:rsid w:val="00AC4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4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73046A"/>
    <w:pPr>
      <w:ind w:left="720"/>
      <w:contextualSpacing/>
    </w:pPr>
  </w:style>
  <w:style w:type="character" w:customStyle="1" w:styleId="AkapitzlistZnak">
    <w:name w:val="Akapit z listą Znak"/>
    <w:aliases w:val="Data wydania Znak,List Paragraph Znak,CW_Lista Znak"/>
    <w:link w:val="Akapitzlist"/>
    <w:uiPriority w:val="34"/>
    <w:rsid w:val="00730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4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73046A"/>
    <w:pPr>
      <w:ind w:left="720"/>
      <w:contextualSpacing/>
    </w:pPr>
  </w:style>
  <w:style w:type="character" w:customStyle="1" w:styleId="AkapitzlistZnak">
    <w:name w:val="Akapit z listą Znak"/>
    <w:aliases w:val="Data wydania Znak,List Paragraph Znak,CW_Lista Znak"/>
    <w:link w:val="Akapitzlist"/>
    <w:uiPriority w:val="34"/>
    <w:rsid w:val="0073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5155</Characters>
  <Application>Microsoft Office Word</Application>
  <DocSecurity>0</DocSecurity>
  <Lines>42</Lines>
  <Paragraphs>12</Paragraphs>
  <ScaleCrop>false</ScaleCrop>
  <Company>RON</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dc:description/>
  <cp:lastModifiedBy>Gruszka Monika</cp:lastModifiedBy>
  <cp:revision>2</cp:revision>
  <dcterms:created xsi:type="dcterms:W3CDTF">2020-02-28T06:39:00Z</dcterms:created>
  <dcterms:modified xsi:type="dcterms:W3CDTF">2020-02-28T06:39:00Z</dcterms:modified>
</cp:coreProperties>
</file>