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668CB342" w14:textId="77777777" w:rsidR="009E3305" w:rsidRPr="009E3305" w:rsidRDefault="009E3305" w:rsidP="009E3305">
      <w:pPr>
        <w:suppressAutoHyphens w:val="0"/>
        <w:spacing w:before="120"/>
        <w:jc w:val="both"/>
        <w:rPr>
          <w:rFonts w:ascii="Cambria" w:eastAsia="Times New Roman" w:hAnsi="Cambria" w:cs="Arial"/>
          <w:b/>
          <w:sz w:val="22"/>
          <w:szCs w:val="22"/>
          <w:lang w:eastAsia="pl-PL"/>
        </w:rPr>
      </w:pPr>
      <w:r w:rsidRPr="009E3305">
        <w:rPr>
          <w:rFonts w:ascii="Cambria" w:eastAsia="Times New Roman" w:hAnsi="Cambria" w:cs="Arial"/>
          <w:b/>
          <w:sz w:val="22"/>
          <w:szCs w:val="22"/>
          <w:lang w:eastAsia="pl-PL"/>
        </w:rPr>
        <w:t>Nadleśnictwem Kolbuszowa  z siedzibą w Świerczowie 138</w:t>
      </w:r>
    </w:p>
    <w:p w14:paraId="3EC5D3A7" w14:textId="77777777" w:rsidR="009E3305" w:rsidRPr="009E3305" w:rsidRDefault="009E3305" w:rsidP="009E3305">
      <w:pPr>
        <w:suppressAutoHyphens w:val="0"/>
        <w:spacing w:before="120"/>
        <w:jc w:val="both"/>
        <w:rPr>
          <w:rFonts w:ascii="Cambria" w:eastAsia="Times New Roman" w:hAnsi="Cambria" w:cs="Arial"/>
          <w:b/>
          <w:sz w:val="22"/>
          <w:szCs w:val="22"/>
          <w:lang w:eastAsia="pl-PL"/>
        </w:rPr>
      </w:pPr>
      <w:r w:rsidRPr="009E3305">
        <w:rPr>
          <w:rFonts w:ascii="Cambria" w:eastAsia="Times New Roman" w:hAnsi="Cambria" w:cs="Arial"/>
          <w:b/>
          <w:sz w:val="22"/>
          <w:szCs w:val="22"/>
          <w:lang w:eastAsia="pl-PL"/>
        </w:rPr>
        <w:t>36- 100 Kolbuszowa</w:t>
      </w:r>
    </w:p>
    <w:p w14:paraId="46557DFE" w14:textId="77777777" w:rsidR="009E3305" w:rsidRPr="009E3305" w:rsidRDefault="009E3305" w:rsidP="009E3305">
      <w:pPr>
        <w:suppressAutoHyphens w:val="0"/>
        <w:spacing w:before="120"/>
        <w:jc w:val="both"/>
        <w:rPr>
          <w:rFonts w:ascii="Cambria" w:eastAsia="Times New Roman" w:hAnsi="Cambria" w:cs="Arial"/>
          <w:sz w:val="22"/>
          <w:szCs w:val="22"/>
          <w:lang w:eastAsia="pl-PL"/>
        </w:rPr>
      </w:pPr>
      <w:r w:rsidRPr="009E3305">
        <w:rPr>
          <w:rFonts w:ascii="Cambria" w:eastAsia="Times New Roman" w:hAnsi="Cambria" w:cs="Arial"/>
          <w:sz w:val="22"/>
          <w:szCs w:val="22"/>
          <w:lang w:eastAsia="pl-PL"/>
        </w:rPr>
        <w:t>NIP 814-00-02-291, REGON 690027094</w:t>
      </w:r>
    </w:p>
    <w:p w14:paraId="58CF4852" w14:textId="77777777" w:rsidR="009E3305" w:rsidRPr="009E3305" w:rsidRDefault="009E3305" w:rsidP="009E3305">
      <w:pPr>
        <w:suppressAutoHyphens w:val="0"/>
        <w:spacing w:before="120"/>
        <w:jc w:val="both"/>
        <w:rPr>
          <w:rFonts w:ascii="Cambria" w:eastAsia="Times New Roman" w:hAnsi="Cambria" w:cs="Arial"/>
          <w:sz w:val="22"/>
          <w:szCs w:val="22"/>
          <w:lang w:eastAsia="pl-PL"/>
        </w:rPr>
      </w:pPr>
      <w:r w:rsidRPr="009E3305">
        <w:rPr>
          <w:rFonts w:ascii="Cambria" w:eastAsia="Times New Roman" w:hAnsi="Cambria" w:cs="Arial"/>
          <w:sz w:val="22"/>
          <w:szCs w:val="22"/>
          <w:lang w:eastAsia="pl-PL"/>
        </w:rPr>
        <w:t>reprezentowanym przez:</w:t>
      </w:r>
    </w:p>
    <w:p w14:paraId="231663D5" w14:textId="77777777" w:rsidR="009E3305" w:rsidRPr="009E3305" w:rsidRDefault="009E3305" w:rsidP="009E3305">
      <w:pPr>
        <w:suppressAutoHyphens w:val="0"/>
        <w:spacing w:before="120"/>
        <w:rPr>
          <w:rFonts w:ascii="Cambria" w:eastAsia="Times New Roman" w:hAnsi="Cambria" w:cs="Arial"/>
          <w:sz w:val="22"/>
          <w:szCs w:val="22"/>
          <w:lang w:eastAsia="pl-PL"/>
        </w:rPr>
      </w:pPr>
      <w:r w:rsidRPr="009E3305">
        <w:rPr>
          <w:rFonts w:ascii="Cambria" w:eastAsia="Times New Roman" w:hAnsi="Cambria" w:cs="Arial"/>
          <w:sz w:val="22"/>
          <w:szCs w:val="22"/>
          <w:lang w:eastAsia="pl-PL"/>
        </w:rPr>
        <w:t xml:space="preserve">dr inż. Bartłomieja </w:t>
      </w:r>
      <w:proofErr w:type="spellStart"/>
      <w:r w:rsidRPr="009E3305">
        <w:rPr>
          <w:rFonts w:ascii="Cambria" w:eastAsia="Times New Roman" w:hAnsi="Cambria" w:cs="Arial"/>
          <w:sz w:val="22"/>
          <w:szCs w:val="22"/>
          <w:lang w:eastAsia="pl-PL"/>
        </w:rPr>
        <w:t>Pereta</w:t>
      </w:r>
      <w:proofErr w:type="spellEnd"/>
      <w:r w:rsidRPr="009E3305">
        <w:rPr>
          <w:rFonts w:ascii="Cambria" w:eastAsia="Times New Roman" w:hAnsi="Cambria" w:cs="Arial"/>
          <w:sz w:val="22"/>
          <w:szCs w:val="22"/>
          <w:lang w:eastAsia="pl-PL"/>
        </w:rPr>
        <w:t xml:space="preserve"> – Nadleśniczego,</w:t>
      </w:r>
    </w:p>
    <w:p w14:paraId="58039B18" w14:textId="0D2265F9" w:rsidR="0013110C" w:rsidRDefault="009E3305" w:rsidP="00225ACD">
      <w:pPr>
        <w:suppressAutoHyphens w:val="0"/>
        <w:spacing w:before="120"/>
        <w:rPr>
          <w:rFonts w:ascii="Cambria" w:hAnsi="Cambria" w:cs="Arial"/>
          <w:sz w:val="22"/>
          <w:szCs w:val="22"/>
          <w:lang w:eastAsia="pl-PL"/>
        </w:rPr>
      </w:pPr>
      <w:r w:rsidRPr="009E3305">
        <w:rPr>
          <w:rFonts w:ascii="Cambria" w:eastAsia="Times New Roman" w:hAnsi="Cambria" w:cs="Arial"/>
          <w:b/>
          <w:sz w:val="22"/>
          <w:szCs w:val="22"/>
          <w:lang w:eastAsia="pl-PL"/>
        </w:rPr>
        <w:t>zwanym dale  Zamawiającym</w:t>
      </w:r>
      <w:r w:rsidR="0013110C">
        <w:rPr>
          <w:rFonts w:ascii="Cambria" w:hAnsi="Cambria" w:cs="Arial"/>
          <w:sz w:val="22"/>
          <w:szCs w:val="22"/>
          <w:lang w:eastAsia="pl-PL"/>
        </w:rPr>
        <w:t>,</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proofErr w:type="spellStart"/>
      <w:r>
        <w:rPr>
          <w:rFonts w:ascii="Cambria" w:hAnsi="Cambria" w:cs="Arial"/>
          <w:sz w:val="22"/>
          <w:szCs w:val="22"/>
          <w:lang w:val="en-US" w:eastAsia="pl-PL"/>
        </w:rPr>
        <w:t>i</w:t>
      </w:r>
      <w:proofErr w:type="spellEnd"/>
      <w:r>
        <w:rPr>
          <w:rFonts w:ascii="Cambria" w:hAnsi="Cambria" w:cs="Arial"/>
          <w:sz w:val="22"/>
          <w:szCs w:val="22"/>
          <w:lang w:val="en-US"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46F1F26D"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lastRenderedPageBreak/>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3DA5FDF"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w:t>
      </w:r>
      <w:r w:rsidR="00FD184C">
        <w:rPr>
          <w:rFonts w:ascii="Cambria" w:eastAsia="Calibri" w:hAnsi="Cambria" w:cs="Arial"/>
          <w:sz w:val="22"/>
          <w:szCs w:val="22"/>
          <w:lang w:eastAsia="en-US"/>
        </w:rPr>
        <w:t>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6BB6D05B" w14:textId="481196B9" w:rsidR="00FD184C" w:rsidRPr="00FD184C" w:rsidRDefault="00FD184C" w:rsidP="00FD184C">
      <w:pPr>
        <w:numPr>
          <w:ilvl w:val="0"/>
          <w:numId w:val="12"/>
        </w:numPr>
        <w:suppressAutoHyphens w:val="0"/>
        <w:spacing w:before="120"/>
        <w:ind w:left="567" w:hanging="567"/>
        <w:jc w:val="both"/>
        <w:outlineLvl w:val="0"/>
        <w:rPr>
          <w:rFonts w:ascii="Cambria" w:hAnsi="Cambria" w:cs="Arial"/>
          <w:b/>
          <w:color w:val="000000"/>
          <w:sz w:val="22"/>
          <w:szCs w:val="22"/>
          <w:lang w:eastAsia="pl-PL"/>
        </w:rPr>
      </w:pPr>
      <w:r w:rsidRPr="00162E29">
        <w:rPr>
          <w:rFonts w:ascii="Cambria" w:eastAsia="Calibri" w:hAnsi="Cambria" w:cs="Arial"/>
          <w:sz w:val="22"/>
          <w:szCs w:val="22"/>
          <w:lang w:eastAsia="en-US"/>
        </w:rPr>
        <w:t xml:space="preserve">Wykonawca jest zobowiązany do zapewnienia swoim pracownikom wszelkich narzędzi ręcznych niezbędnych do wykonania przedmiotu zamówienia (siekiery, tasaki, w przypadku szkółki – łopaty, sztychówki, motyki, </w:t>
      </w:r>
      <w:r>
        <w:rPr>
          <w:rFonts w:ascii="Cambria" w:eastAsia="Calibri" w:hAnsi="Cambria" w:cs="Arial"/>
          <w:sz w:val="22"/>
          <w:szCs w:val="22"/>
          <w:lang w:eastAsia="en-US"/>
        </w:rPr>
        <w:t xml:space="preserve">grabie, </w:t>
      </w:r>
      <w:r w:rsidRPr="00162E29">
        <w:rPr>
          <w:rFonts w:ascii="Cambria" w:eastAsia="Calibri" w:hAnsi="Cambria" w:cs="Arial"/>
          <w:sz w:val="22"/>
          <w:szCs w:val="22"/>
          <w:lang w:eastAsia="en-US"/>
        </w:rPr>
        <w:t xml:space="preserve">sekatory, taczki itp. </w:t>
      </w:r>
      <w:r>
        <w:rPr>
          <w:rFonts w:ascii="Cambria" w:eastAsia="Calibri" w:hAnsi="Cambria" w:cs="Arial"/>
          <w:sz w:val="22"/>
          <w:szCs w:val="22"/>
          <w:lang w:eastAsia="en-US"/>
        </w:rPr>
        <w:t>k</w:t>
      </w:r>
      <w:r w:rsidRPr="00162E29">
        <w:rPr>
          <w:rFonts w:ascii="Cambria" w:eastAsia="Calibri" w:hAnsi="Cambria" w:cs="Arial"/>
          <w:sz w:val="22"/>
          <w:szCs w:val="22"/>
          <w:lang w:eastAsia="en-US"/>
        </w:rPr>
        <w:t>ompletne, naostrzone, spełniające certyfikaty bezpieczeństwa.</w:t>
      </w:r>
    </w:p>
    <w:p w14:paraId="1C2D3CDE" w14:textId="745B2E3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w:t>
      </w:r>
      <w:r w:rsidR="00FD184C">
        <w:rPr>
          <w:rFonts w:ascii="Cambria" w:eastAsia="Calibri" w:hAnsi="Cambria" w:cs="Arial"/>
          <w:sz w:val="22"/>
          <w:szCs w:val="22"/>
          <w:lang w:eastAsia="en-US"/>
        </w:rPr>
        <w:t>,6</w:t>
      </w:r>
      <w:r>
        <w:rPr>
          <w:rFonts w:ascii="Cambria" w:eastAsia="Calibri" w:hAnsi="Cambria" w:cs="Arial"/>
          <w:sz w:val="22"/>
          <w:szCs w:val="22"/>
          <w:lang w:eastAsia="en-US"/>
        </w:rPr>
        <w:t xml:space="preserve">.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6908D7B5" w14:textId="77777777" w:rsidR="00FD184C" w:rsidRDefault="00FD184C" w:rsidP="00225ACD">
      <w:pPr>
        <w:suppressAutoHyphens w:val="0"/>
        <w:spacing w:before="120"/>
        <w:jc w:val="center"/>
        <w:outlineLvl w:val="0"/>
        <w:rPr>
          <w:rFonts w:ascii="Cambria" w:hAnsi="Cambria" w:cs="Arial"/>
          <w:b/>
          <w:color w:val="000000"/>
          <w:sz w:val="22"/>
          <w:szCs w:val="22"/>
          <w:lang w:eastAsia="pl-PL"/>
        </w:rPr>
      </w:pPr>
    </w:p>
    <w:p w14:paraId="134831F8" w14:textId="77777777" w:rsidR="00FD184C" w:rsidRDefault="00FD184C"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61DB155B" w14:textId="6EC5E69A" w:rsidR="00FD184C" w:rsidRDefault="00FD184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r>
      <w:r w:rsidRPr="00FD184C">
        <w:rPr>
          <w:rFonts w:ascii="Cambria" w:eastAsia="Calibri" w:hAnsi="Cambria" w:cs="Arial"/>
          <w:sz w:val="22"/>
          <w:szCs w:val="22"/>
          <w:lang w:eastAsia="en-US"/>
        </w:rPr>
        <w:t xml:space="preserve">W oparciu o postanowienie art. 208 § 1 pkt 2 Kodeksu pracy oraz w związku z wykonywaniem prac jednocześnie w tym samym miejscu  przez pracowników Zleceniodawcy i Wykonawcy, Zleceniodawca i Wykonawca ustalają, że w przypadku wykonywania prac jednocześnie w tym samym miejscu  przez pracowników Zleceniodawcy i Wykonawcy na koordynatora sprawującego nadzór nad bezpieczeństwem i higieną pracy wszystkich pracowników  wyznacza się przedstawiciela Wykonawcy zgodnie z Porozumienie stanowiącym Załącznik nr  </w:t>
      </w:r>
      <w:r>
        <w:rPr>
          <w:rFonts w:ascii="Cambria" w:eastAsia="Calibri" w:hAnsi="Cambria" w:cs="Arial"/>
          <w:sz w:val="22"/>
          <w:szCs w:val="22"/>
          <w:lang w:eastAsia="en-US"/>
        </w:rPr>
        <w:t>7</w:t>
      </w:r>
      <w:r w:rsidRPr="00FD184C">
        <w:rPr>
          <w:rFonts w:ascii="Cambria" w:eastAsia="Calibri" w:hAnsi="Cambria" w:cs="Arial"/>
          <w:sz w:val="22"/>
          <w:szCs w:val="22"/>
          <w:lang w:eastAsia="en-US"/>
        </w:rPr>
        <w:t xml:space="preserve"> do niniejszej umowy.</w:t>
      </w:r>
    </w:p>
    <w:p w14:paraId="570C9999" w14:textId="633687BF"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w:t>
      </w:r>
      <w:r w:rsidR="00FD184C">
        <w:rPr>
          <w:rFonts w:ascii="Cambria" w:eastAsia="Calibri" w:hAnsi="Cambria" w:cs="Arial"/>
          <w:sz w:val="22"/>
          <w:szCs w:val="22"/>
          <w:lang w:eastAsia="en-US"/>
        </w:rPr>
        <w:t>3</w:t>
      </w:r>
      <w:r>
        <w:rPr>
          <w:rFonts w:ascii="Cambria" w:eastAsia="Calibri" w:hAnsi="Cambria" w:cs="Arial"/>
          <w:sz w:val="22"/>
          <w:szCs w:val="22"/>
          <w:lang w:eastAsia="en-US"/>
        </w:rPr>
        <w:t>.</w:t>
      </w:r>
      <w:r>
        <w:rPr>
          <w:rFonts w:ascii="Cambria" w:eastAsia="Calibri" w:hAnsi="Cambria" w:cs="Arial"/>
          <w:sz w:val="22"/>
          <w:szCs w:val="22"/>
          <w:lang w:eastAsia="en-US"/>
        </w:rPr>
        <w:tab/>
      </w:r>
      <w:r w:rsidR="00FD184C" w:rsidRPr="00FD184C">
        <w:rPr>
          <w:rFonts w:ascii="Cambria" w:eastAsia="Calibri" w:hAnsi="Cambria" w:cs="Arial"/>
          <w:sz w:val="22"/>
          <w:szCs w:val="22"/>
          <w:lang w:eastAsia="en-US"/>
        </w:rPr>
        <w:t>Ponadto Wykonawca ma obowiązek wyznaczenia koordynatora zgodnie z przepisami prawa pracy (art. 208 § 1 pkt 2 Kodeksu pracy), jeżeli na powierzchni roboczej przyjętej do wykonania przez Wykonawcę będą pracowali inni pracownicy podwykonawcy, na umowę zlecenie itp. W przypadku braku wyznaczonego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3E029ADB" w14:textId="77777777" w:rsidR="00FD184C" w:rsidRDefault="00FD184C" w:rsidP="00225ACD">
      <w:pPr>
        <w:suppressAutoHyphens w:val="0"/>
        <w:spacing w:before="120"/>
        <w:jc w:val="center"/>
        <w:outlineLvl w:val="0"/>
        <w:rPr>
          <w:rFonts w:ascii="Cambria" w:hAnsi="Cambria" w:cs="Arial"/>
          <w:b/>
          <w:color w:val="000000"/>
          <w:sz w:val="22"/>
          <w:szCs w:val="22"/>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10CD5F76" w14:textId="77777777" w:rsidR="00FD184C" w:rsidRDefault="00FD184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sidRPr="00FD184C">
        <w:rPr>
          <w:rFonts w:ascii="Cambria" w:hAnsi="Cambria" w:cs="Arial"/>
          <w:sz w:val="22"/>
          <w:szCs w:val="22"/>
          <w:lang w:eastAsia="pl-PL"/>
        </w:rPr>
        <w:t>Wykonawca będzie zobowiązany do uprzątnięcia wszystkich śmieci i nieczystości z powierzchni, na której wykonywane były prace, oraz odpadów pozostałych po pozyskaniu w najbliższym otoczeniu, w tym szczególnie z przyległych dróg i rowów melioracyjnych. Nieuprzątnięcie śmieci będzie podstawą do odmówienia dokonania odbioru prac na przekazanej powierzchni roboczej.</w:t>
      </w:r>
    </w:p>
    <w:p w14:paraId="0F4F44DB" w14:textId="31D3EF0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FD184C">
      <w:pPr>
        <w:suppressAutoHyphens w:val="0"/>
        <w:spacing w:before="120"/>
        <w:ind w:left="567"/>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3CF8DFC"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FD184C">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1F6BF36B" w14:textId="142320B7" w:rsidR="0013110C" w:rsidRDefault="00FD184C" w:rsidP="00225ACD">
      <w:pPr>
        <w:numPr>
          <w:ilvl w:val="0"/>
          <w:numId w:val="21"/>
        </w:numPr>
        <w:suppressAutoHyphens w:val="0"/>
        <w:spacing w:before="120"/>
        <w:ind w:left="567" w:hanging="567"/>
        <w:jc w:val="both"/>
        <w:rPr>
          <w:rFonts w:ascii="Cambria" w:hAnsi="Cambria" w:cs="Arial"/>
          <w:sz w:val="22"/>
          <w:szCs w:val="22"/>
          <w:lang w:eastAsia="pl-PL"/>
        </w:rPr>
      </w:pPr>
      <w:r w:rsidRPr="00FD184C">
        <w:rPr>
          <w:rFonts w:ascii="Cambria" w:hAnsi="Cambria" w:cs="Arial"/>
          <w:sz w:val="22"/>
          <w:szCs w:val="22"/>
          <w:lang w:eastAsia="pl-PL"/>
        </w:rPr>
        <w:t>W przypadku wystawienia faktury w formie pisemnej, prawidłowo wystawiona faktura powinna być doręczona do 8 dnia następnego miesiąca, po miesiącu w którym dokonano zgłoszenia prac do odbioru</w:t>
      </w:r>
      <w:r w:rsidR="0013110C">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550518DA" w14:textId="4BA8F2DD"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w:t>
      </w:r>
      <w:bookmarkStart w:id="10" w:name="_Toc68356757"/>
      <w:r w:rsidR="00FD184C">
        <w:rPr>
          <w:rFonts w:ascii="Cambria" w:hAnsi="Cambria" w:cs="Arial"/>
          <w:b/>
          <w:bCs/>
          <w:kern w:val="32"/>
          <w:sz w:val="22"/>
          <w:szCs w:val="22"/>
          <w:lang w:eastAsia="pl-PL"/>
        </w:rPr>
        <w:t>2</w:t>
      </w:r>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zrywki rozumie się odarcie kory do drewna o </w:t>
      </w:r>
      <w:r>
        <w:rPr>
          <w:rFonts w:ascii="Cambria" w:hAnsi="Cambria" w:cs="Arial"/>
          <w:bCs/>
          <w:sz w:val="22"/>
          <w:szCs w:val="22"/>
          <w:lang w:eastAsia="pl-PL"/>
        </w:rPr>
        <w:lastRenderedPageBreak/>
        <w:t>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1AE710A2"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w:t>
      </w:r>
      <w:bookmarkStart w:id="15" w:name="_Toc68356761"/>
      <w:r w:rsidR="00FD184C">
        <w:rPr>
          <w:rFonts w:ascii="Cambria" w:hAnsi="Cambria" w:cs="Arial"/>
          <w:b/>
          <w:bCs/>
          <w:kern w:val="32"/>
          <w:sz w:val="22"/>
          <w:szCs w:val="22"/>
          <w:lang w:eastAsia="pl-PL"/>
        </w:rPr>
        <w:t>3</w:t>
      </w:r>
      <w:r>
        <w:rPr>
          <w:rFonts w:ascii="Cambria" w:hAnsi="Cambria" w:cs="Arial"/>
          <w:b/>
          <w:sz w:val="22"/>
          <w:szCs w:val="22"/>
          <w:lang w:eastAsia="pl-PL"/>
        </w:rPr>
        <w:br/>
        <w:t>Ubezpieczenia</w:t>
      </w:r>
      <w:bookmarkEnd w:id="15"/>
    </w:p>
    <w:p w14:paraId="557FC8CA" w14:textId="6B012893"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FD184C">
        <w:rPr>
          <w:rFonts w:ascii="Cambria" w:hAnsi="Cambria" w:cs="Arial"/>
          <w:sz w:val="22"/>
          <w:szCs w:val="22"/>
          <w:lang w:eastAsia="pl-PL"/>
        </w:rPr>
        <w:t>100 000,00</w:t>
      </w:r>
      <w:r>
        <w:rPr>
          <w:rFonts w:ascii="Cambria" w:hAnsi="Cambria" w:cs="Arial"/>
          <w:sz w:val="22"/>
          <w:szCs w:val="22"/>
          <w:lang w:eastAsia="pl-PL"/>
        </w:rPr>
        <w:t xml:space="preserve">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1B8F224D"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w:t>
      </w:r>
      <w:r w:rsidR="00FD184C">
        <w:rPr>
          <w:rFonts w:ascii="Cambria" w:hAnsi="Cambria"/>
          <w:b/>
          <w:sz w:val="22"/>
          <w:szCs w:val="22"/>
          <w:lang w:eastAsia="pl-PL"/>
        </w:rPr>
        <w:t>4</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w:t>
      </w:r>
      <w:r>
        <w:rPr>
          <w:rFonts w:ascii="Cambria" w:hAnsi="Cambria" w:cs="Arial"/>
          <w:sz w:val="22"/>
          <w:szCs w:val="22"/>
          <w:lang w:eastAsia="pl-PL"/>
        </w:rPr>
        <w:lastRenderedPageBreak/>
        <w:t xml:space="preserve">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3BF6EB9C"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w:t>
      </w:r>
      <w:r w:rsidR="00FD184C">
        <w:rPr>
          <w:rFonts w:ascii="Cambria" w:hAnsi="Cambria" w:cs="Arial"/>
          <w:b/>
          <w:bCs/>
          <w:kern w:val="32"/>
          <w:sz w:val="22"/>
          <w:szCs w:val="22"/>
          <w:lang w:eastAsia="pl-PL"/>
        </w:rPr>
        <w:t>5</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0D73E611"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FD184C">
        <w:rPr>
          <w:rFonts w:ascii="Cambria" w:hAnsi="Cambria" w:cs="Arial"/>
          <w:b/>
          <w:sz w:val="22"/>
          <w:szCs w:val="22"/>
          <w:lang w:eastAsia="pl-PL"/>
        </w:rPr>
        <w:t>6</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lastRenderedPageBreak/>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6D2F7892" w14:textId="77777777" w:rsidR="009D72B4" w:rsidRPr="006E3E83" w:rsidRDefault="009D72B4" w:rsidP="009D72B4">
      <w:pPr>
        <w:keepNext/>
        <w:spacing w:before="240" w:after="240"/>
        <w:jc w:val="center"/>
        <w:outlineLvl w:val="0"/>
        <w:rPr>
          <w:rFonts w:ascii="Cambria" w:hAnsi="Cambria" w:cs="Arial"/>
          <w:bCs/>
          <w:kern w:val="32"/>
          <w:lang w:eastAsia="pl-PL"/>
        </w:rPr>
      </w:pPr>
      <w:r w:rsidRPr="006E3E83">
        <w:rPr>
          <w:rFonts w:ascii="Cambria" w:hAnsi="Cambria" w:cs="Arial"/>
          <w:b/>
          <w:bCs/>
          <w:kern w:val="32"/>
          <w:lang w:eastAsia="pl-PL"/>
        </w:rPr>
        <w:t>§ 16a</w:t>
      </w:r>
      <w:r w:rsidRPr="006E3E83">
        <w:rPr>
          <w:rFonts w:ascii="Cambria" w:hAnsi="Cambria" w:cs="Arial"/>
          <w:b/>
          <w:kern w:val="32"/>
          <w:lang w:eastAsia="pl-PL"/>
        </w:rPr>
        <w:br/>
        <w:t>Waloryzacja</w:t>
      </w:r>
    </w:p>
    <w:p w14:paraId="51317D34" w14:textId="77777777" w:rsidR="009D72B4" w:rsidRPr="006E3E83" w:rsidRDefault="009D72B4" w:rsidP="009D72B4">
      <w:pPr>
        <w:spacing w:before="240" w:after="240"/>
        <w:ind w:left="567" w:hanging="567"/>
        <w:jc w:val="both"/>
        <w:rPr>
          <w:rFonts w:ascii="Cambria" w:hAnsi="Cambria" w:cs="Arial"/>
          <w:lang w:eastAsia="pl-PL"/>
        </w:rPr>
      </w:pPr>
      <w:r w:rsidRPr="006E3E83">
        <w:rPr>
          <w:rFonts w:ascii="Cambria" w:hAnsi="Cambria" w:cs="Arial"/>
          <w:lang w:eastAsia="pl-PL"/>
        </w:rPr>
        <w:t>1.</w:t>
      </w:r>
      <w:r w:rsidRPr="006E3E83">
        <w:rPr>
          <w:rFonts w:ascii="Cambria" w:hAnsi="Cambria" w:cs="Arial"/>
          <w:lang w:eastAsia="pl-PL"/>
        </w:rPr>
        <w:tab/>
        <w:t>Na zasadach opisanych w niniejszym paragrafie</w:t>
      </w:r>
      <w:r w:rsidRPr="006E3E83" w:rsidDel="00292242">
        <w:rPr>
          <w:rFonts w:ascii="Cambria" w:hAnsi="Cambria" w:cs="Arial"/>
          <w:lang w:eastAsia="pl-PL"/>
        </w:rPr>
        <w:t xml:space="preserve"> </w:t>
      </w:r>
      <w:r w:rsidRPr="006E3E83">
        <w:rPr>
          <w:rFonts w:ascii="Cambria" w:hAnsi="Cambria" w:cs="Arial"/>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29D0E7A"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hAnsi="Cambria" w:cs="Arial"/>
          <w:lang w:eastAsia="pl-PL"/>
        </w:rPr>
        <w:t>2.</w:t>
      </w:r>
      <w:r w:rsidRPr="006E3E83">
        <w:rPr>
          <w:rFonts w:ascii="Cambria" w:hAnsi="Cambria" w:cs="Arial"/>
          <w:lang w:eastAsia="pl-PL"/>
        </w:rPr>
        <w:tab/>
        <w:t xml:space="preserve">Waloryzacja zostanie dokonana w oparciu o </w:t>
      </w:r>
      <w:r w:rsidRPr="006E3E83">
        <w:rPr>
          <w:rFonts w:ascii="Cambria" w:eastAsia="Calibri" w:hAnsi="Cambria" w:cs="Calibri Light"/>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6E3E83">
        <w:rPr>
          <w:rFonts w:ascii="Cambria" w:eastAsia="Calibri" w:hAnsi="Cambria" w:cs="Calibri Light"/>
        </w:rPr>
        <w:t>późn</w:t>
      </w:r>
      <w:proofErr w:type="spellEnd"/>
      <w:r w:rsidRPr="006E3E83">
        <w:rPr>
          <w:rFonts w:ascii="Cambria" w:eastAsia="Calibri" w:hAnsi="Cambria" w:cs="Calibri Light"/>
        </w:rPr>
        <w:t xml:space="preserve">. zm.). Do obliczenia Waloryzacji zostanie przyjęty: </w:t>
      </w:r>
    </w:p>
    <w:p w14:paraId="0E414F51" w14:textId="77777777" w:rsidR="009D72B4" w:rsidRPr="006E3E83" w:rsidRDefault="009D72B4" w:rsidP="009D72B4">
      <w:pPr>
        <w:spacing w:before="240" w:after="240"/>
        <w:ind w:left="1134" w:hanging="567"/>
        <w:jc w:val="both"/>
        <w:rPr>
          <w:rFonts w:ascii="Cambria" w:eastAsia="Calibri" w:hAnsi="Cambria" w:cs="Calibri Light"/>
        </w:rPr>
      </w:pPr>
      <w:r w:rsidRPr="006E3E83">
        <w:rPr>
          <w:rFonts w:ascii="Cambria" w:eastAsia="Calibri" w:hAnsi="Cambria" w:cs="Calibri Light"/>
        </w:rPr>
        <w:t>1)</w:t>
      </w:r>
      <w:r w:rsidRPr="006E3E83">
        <w:rPr>
          <w:rFonts w:ascii="Cambria" w:eastAsia="Calibri" w:hAnsi="Cambria" w:cs="Calibri Light"/>
        </w:rPr>
        <w:tab/>
        <w:t xml:space="preserve">Wskaźnik GUS za pierwszy kwartał roku 2023, z zastrzeżeniem, że jeżeli Umowa została zawarta po </w:t>
      </w:r>
      <w:bookmarkStart w:id="17" w:name="_Hlk116975612"/>
      <w:r w:rsidRPr="006E3E83">
        <w:rPr>
          <w:rFonts w:ascii="Cambria" w:eastAsia="Calibri" w:hAnsi="Cambria" w:cs="Calibri Light"/>
        </w:rPr>
        <w:t xml:space="preserve">ogłoszeniu komunikatu Prezesa Głównego Urzędu Statystycznego podającego Wskaźnik GUS za </w:t>
      </w:r>
      <w:bookmarkEnd w:id="17"/>
      <w:r w:rsidRPr="006E3E83">
        <w:rPr>
          <w:rFonts w:ascii="Cambria" w:eastAsia="Calibri" w:hAnsi="Cambria" w:cs="Calibri Light"/>
        </w:rPr>
        <w:t xml:space="preserve">pierwszy kwartał roku 2023, to wówczas do obliczenia Waloryzacji zostanie przyjęty Wskaźnik GUS wynikający z pierwszego (licząc od początkowego dnia realizacji Umowy, o którym mowa w § 3 ust. 1) komunikatu </w:t>
      </w:r>
      <w:bookmarkStart w:id="18" w:name="_Hlk116975564"/>
      <w:r w:rsidRPr="006E3E83">
        <w:rPr>
          <w:rFonts w:ascii="Cambria" w:eastAsia="Calibri" w:hAnsi="Cambria" w:cs="Calibri Light"/>
        </w:rPr>
        <w:t xml:space="preserve">Prezesa Głównego Urzędu Statystycznego podającego Wskaźnik GUS </w:t>
      </w:r>
      <w:bookmarkEnd w:id="18"/>
      <w:r w:rsidRPr="006E3E83">
        <w:rPr>
          <w:rFonts w:ascii="Cambria" w:eastAsia="Calibri" w:hAnsi="Cambria" w:cs="Calibri Light"/>
        </w:rPr>
        <w:t>(„I Wskaźnik GUS”);</w:t>
      </w:r>
    </w:p>
    <w:p w14:paraId="7A8C869A" w14:textId="77777777" w:rsidR="009D72B4" w:rsidRPr="006E3E83" w:rsidRDefault="009D72B4" w:rsidP="009D72B4">
      <w:pPr>
        <w:spacing w:before="240" w:after="240"/>
        <w:ind w:left="1134" w:hanging="567"/>
        <w:jc w:val="both"/>
        <w:rPr>
          <w:rFonts w:ascii="Cambria" w:eastAsia="Calibri" w:hAnsi="Cambria" w:cs="Calibri Light"/>
        </w:rPr>
      </w:pPr>
      <w:r w:rsidRPr="006E3E83">
        <w:rPr>
          <w:rFonts w:ascii="Cambria" w:eastAsia="Calibri" w:hAnsi="Cambria" w:cs="Calibri Light"/>
        </w:rPr>
        <w:t>2)</w:t>
      </w:r>
      <w:r w:rsidRPr="006E3E83">
        <w:rPr>
          <w:rFonts w:ascii="Cambria" w:eastAsia="Calibri" w:hAnsi="Cambria" w:cs="Calibri Light"/>
        </w:rPr>
        <w:tab/>
        <w:t xml:space="preserve">Wskaźnik GUS za drugi kwartał roku 2023 z zastrzeżeniem, że jeżeli Umowa została zawarta po ogłoszeniu komunikatu Prezesa Głównego Urzędu Statystycznego podającego Wskaźnik GUS za pierwszy kwartał roku 2023, </w:t>
      </w:r>
      <w:bookmarkStart w:id="19" w:name="_Hlk116914429"/>
      <w:r w:rsidRPr="006E3E83">
        <w:rPr>
          <w:rFonts w:ascii="Cambria" w:eastAsia="Calibri" w:hAnsi="Cambria" w:cs="Calibri Light"/>
        </w:rPr>
        <w:t>to wówczas do obliczenia Waloryzacji zostanie przyjęty Wskaźnik GUS wynikający z drugiego (licząc od początkowego dnia realizacji Umowy, o którym mowa w § 3 ust. 1) komunikatu Prezesa Głównego Urzędu Statystycznego podającego Wskaźnik GUS</w:t>
      </w:r>
      <w:bookmarkEnd w:id="19"/>
      <w:r w:rsidRPr="006E3E83">
        <w:rPr>
          <w:rFonts w:ascii="Cambria" w:eastAsia="Calibri" w:hAnsi="Cambria" w:cs="Calibri Light"/>
        </w:rPr>
        <w:t xml:space="preserve"> („II Wskaźnik GUS”)</w:t>
      </w:r>
    </w:p>
    <w:p w14:paraId="7C14BA47" w14:textId="77777777" w:rsidR="009D72B4" w:rsidRPr="006E3E83" w:rsidRDefault="009D72B4" w:rsidP="009D72B4">
      <w:pPr>
        <w:spacing w:before="240" w:after="240"/>
        <w:ind w:left="567" w:hanging="567"/>
        <w:jc w:val="both"/>
        <w:rPr>
          <w:rFonts w:ascii="Cambria" w:hAnsi="Cambria" w:cs="Arial"/>
          <w:lang w:eastAsia="pl-PL"/>
        </w:rPr>
      </w:pPr>
      <w:r w:rsidRPr="006E3E83">
        <w:rPr>
          <w:rFonts w:ascii="Cambria" w:eastAsia="Calibri" w:hAnsi="Cambria" w:cs="Calibri Light"/>
        </w:rPr>
        <w:t>3.</w:t>
      </w:r>
      <w:r w:rsidRPr="006E3E83">
        <w:rPr>
          <w:rFonts w:ascii="Cambria" w:eastAsia="Calibri" w:hAnsi="Cambria" w:cs="Calibri Light"/>
        </w:rPr>
        <w:tab/>
        <w:t>W trakcie okresu realizacji Umowy, o którym mowa w § 3 ust. 1, Waloryzacja zostanie dokonana jednorazowo w dniu opublikowania II Wskaźnika GUS („Dzień Dokonania Waloryzacji”).</w:t>
      </w:r>
    </w:p>
    <w:p w14:paraId="423B2B35"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hAnsi="Cambria" w:cs="Arial"/>
          <w:lang w:eastAsia="pl-PL"/>
        </w:rPr>
        <w:lastRenderedPageBreak/>
        <w:t>4.</w:t>
      </w:r>
      <w:r w:rsidRPr="006E3E83">
        <w:rPr>
          <w:rFonts w:ascii="Cambria" w:hAnsi="Cambria" w:cs="Arial"/>
          <w:lang w:eastAsia="pl-PL"/>
        </w:rPr>
        <w:tab/>
        <w:t>Waloryzacja nie wymaga zawarcia aneksu do Umowy.</w:t>
      </w:r>
      <w:r w:rsidRPr="006E3E83">
        <w:rPr>
          <w:rFonts w:ascii="Cambria" w:eastAsia="Calibri" w:hAnsi="Cambria" w:cs="Calibri Light"/>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2F55C01"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5.</w:t>
      </w:r>
      <w:r w:rsidRPr="006E3E83">
        <w:rPr>
          <w:rFonts w:ascii="Cambria" w:eastAsia="Calibri" w:hAnsi="Cambria" w:cs="Calibri Light"/>
        </w:rPr>
        <w:tab/>
        <w:t xml:space="preserve">W ramach Waloryzacji nowa kwota każdej z cen jednostkowych zostanie ustalona w następujący sposób: </w:t>
      </w:r>
    </w:p>
    <w:p w14:paraId="49D784B4" w14:textId="77777777" w:rsidR="009D72B4" w:rsidRPr="006E3E83" w:rsidRDefault="009D72B4" w:rsidP="009D72B4">
      <w:pPr>
        <w:spacing w:before="240" w:after="240"/>
        <w:ind w:left="567"/>
        <w:jc w:val="both"/>
        <w:rPr>
          <w:rFonts w:ascii="Cambria" w:eastAsia="Calibri" w:hAnsi="Cambria" w:cs="Calibri Light"/>
          <w:vertAlign w:val="subscript"/>
        </w:rPr>
      </w:pP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 </w:t>
      </w:r>
      <w:proofErr w:type="spellStart"/>
      <w:r w:rsidRPr="006E3E83">
        <w:rPr>
          <w:rFonts w:ascii="Cambria" w:eastAsia="Calibri" w:hAnsi="Cambria" w:cs="Calibri Light"/>
        </w:rPr>
        <w:t>Cp</w:t>
      </w:r>
      <w:proofErr w:type="spellEnd"/>
      <w:r w:rsidRPr="006E3E83">
        <w:rPr>
          <w:rFonts w:ascii="Cambria" w:eastAsia="Calibri" w:hAnsi="Cambria" w:cs="Calibri Light"/>
        </w:rPr>
        <w:t xml:space="preserve"> +(</w:t>
      </w:r>
      <w:proofErr w:type="spellStart"/>
      <w:r w:rsidRPr="006E3E83">
        <w:rPr>
          <w:rFonts w:ascii="Cambria" w:eastAsia="Calibri" w:hAnsi="Cambria" w:cs="Calibri Light"/>
        </w:rPr>
        <w:t>Cp</w:t>
      </w:r>
      <w:proofErr w:type="spellEnd"/>
      <w:r w:rsidRPr="006E3E83">
        <w:rPr>
          <w:rFonts w:ascii="Cambria" w:eastAsia="Calibri" w:hAnsi="Cambria" w:cs="Calibri Light"/>
        </w:rPr>
        <w:t xml:space="preserve"> x CPI</w:t>
      </w:r>
      <w:r w:rsidRPr="006E3E83">
        <w:rPr>
          <w:rFonts w:ascii="Cambria" w:eastAsia="Calibri" w:hAnsi="Cambria" w:cs="Calibri Light"/>
          <w:vertAlign w:val="subscript"/>
        </w:rPr>
        <w:t>I</w:t>
      </w:r>
      <w:r w:rsidRPr="006E3E83">
        <w:rPr>
          <w:rFonts w:ascii="Cambria" w:eastAsia="Calibri" w:hAnsi="Cambria" w:cs="Calibri Light"/>
        </w:rPr>
        <w:t>) x 0,5 +(</w:t>
      </w:r>
      <w:proofErr w:type="spellStart"/>
      <w:r w:rsidRPr="006E3E83">
        <w:rPr>
          <w:rFonts w:ascii="Cambria" w:eastAsia="Calibri" w:hAnsi="Cambria" w:cs="Calibri Light"/>
        </w:rPr>
        <w:t>Cp</w:t>
      </w:r>
      <w:proofErr w:type="spellEnd"/>
      <w:r w:rsidRPr="006E3E83">
        <w:rPr>
          <w:rFonts w:ascii="Cambria" w:eastAsia="Calibri" w:hAnsi="Cambria" w:cs="Calibri Light"/>
        </w:rPr>
        <w:t xml:space="preserve"> x CPI</w:t>
      </w:r>
      <w:r w:rsidRPr="006E3E83">
        <w:rPr>
          <w:rFonts w:ascii="Cambria" w:eastAsia="Calibri" w:hAnsi="Cambria" w:cs="Calibri Light"/>
          <w:vertAlign w:val="subscript"/>
        </w:rPr>
        <w:t>II</w:t>
      </w:r>
      <w:r w:rsidRPr="006E3E83">
        <w:rPr>
          <w:rFonts w:ascii="Cambria" w:eastAsia="Calibri" w:hAnsi="Cambria" w:cs="Calibri Light"/>
        </w:rPr>
        <w:t>) x 0,5</w:t>
      </w:r>
    </w:p>
    <w:p w14:paraId="6C0ACE6C" w14:textId="77777777" w:rsidR="009D72B4" w:rsidRPr="006E3E83" w:rsidRDefault="009D72B4" w:rsidP="009D72B4">
      <w:pPr>
        <w:spacing w:before="240" w:after="240"/>
        <w:ind w:left="567"/>
        <w:jc w:val="both"/>
        <w:rPr>
          <w:rFonts w:ascii="Cambria" w:eastAsia="Calibri" w:hAnsi="Cambria" w:cs="Calibri Light"/>
        </w:rPr>
      </w:pPr>
      <w:r w:rsidRPr="006E3E83">
        <w:rPr>
          <w:rFonts w:ascii="Cambria" w:eastAsia="Calibri" w:hAnsi="Cambria" w:cs="Calibri Light"/>
        </w:rPr>
        <w:t xml:space="preserve">gdzie: </w:t>
      </w:r>
    </w:p>
    <w:p w14:paraId="759DE7B0" w14:textId="77777777" w:rsidR="009D72B4" w:rsidRPr="006E3E83" w:rsidRDefault="009D72B4" w:rsidP="009D72B4">
      <w:pPr>
        <w:spacing w:before="240" w:after="240"/>
        <w:ind w:left="1418" w:hanging="851"/>
        <w:jc w:val="both"/>
        <w:rPr>
          <w:rFonts w:ascii="Cambria" w:eastAsia="Calibri" w:hAnsi="Cambria" w:cs="Calibri Light"/>
        </w:rPr>
      </w:pP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w:t>
      </w:r>
      <w:r w:rsidRPr="006E3E83">
        <w:rPr>
          <w:rFonts w:ascii="Cambria" w:eastAsia="Calibri" w:hAnsi="Cambria" w:cs="Calibri Light"/>
        </w:rPr>
        <w:tab/>
        <w:t>to kwota danej nowej ceny jednostkowej po dokonaniu Waloryzacji (wyrażona w PLN);</w:t>
      </w:r>
    </w:p>
    <w:p w14:paraId="45CE3EDA" w14:textId="77777777" w:rsidR="009D72B4" w:rsidRPr="006E3E83" w:rsidRDefault="009D72B4" w:rsidP="009D72B4">
      <w:pPr>
        <w:spacing w:before="240" w:after="240"/>
        <w:ind w:left="1418" w:hanging="851"/>
        <w:jc w:val="both"/>
        <w:rPr>
          <w:rFonts w:ascii="Cambria" w:eastAsia="Calibri" w:hAnsi="Cambria" w:cs="Calibri Light"/>
        </w:rPr>
      </w:pPr>
      <w:proofErr w:type="spellStart"/>
      <w:r w:rsidRPr="006E3E83">
        <w:rPr>
          <w:rFonts w:ascii="Cambria" w:eastAsia="Calibri" w:hAnsi="Cambria" w:cs="Calibri Light"/>
        </w:rPr>
        <w:t>Cp</w:t>
      </w:r>
      <w:proofErr w:type="spellEnd"/>
      <w:r w:rsidRPr="006E3E83">
        <w:rPr>
          <w:rFonts w:ascii="Cambria" w:eastAsia="Calibri" w:hAnsi="Cambria" w:cs="Calibri Light"/>
        </w:rPr>
        <w:t xml:space="preserve"> </w:t>
      </w:r>
      <w:r w:rsidRPr="006E3E83">
        <w:rPr>
          <w:rFonts w:ascii="Cambria" w:eastAsia="Calibri" w:hAnsi="Cambria" w:cs="Calibri Light"/>
        </w:rPr>
        <w:tab/>
        <w:t>to kwota danej ceny jednostkowej pierwotnie podana w kosztorysie zawartym w Ofercie (wyrażona w PLN);</w:t>
      </w:r>
    </w:p>
    <w:p w14:paraId="144E0B0A" w14:textId="77777777" w:rsidR="009D72B4" w:rsidRPr="006E3E83" w:rsidRDefault="009D72B4" w:rsidP="009D72B4">
      <w:pPr>
        <w:spacing w:before="240" w:after="240"/>
        <w:ind w:left="1418" w:hanging="851"/>
        <w:jc w:val="both"/>
        <w:rPr>
          <w:rFonts w:ascii="Cambria" w:eastAsia="Calibri" w:hAnsi="Cambria" w:cs="Calibri Light"/>
        </w:rPr>
      </w:pPr>
      <w:r w:rsidRPr="006E3E83">
        <w:rPr>
          <w:rFonts w:ascii="Cambria" w:eastAsia="Calibri" w:hAnsi="Cambria" w:cs="Calibri Light"/>
        </w:rPr>
        <w:t>CPI</w:t>
      </w:r>
      <w:r w:rsidRPr="006E3E83">
        <w:rPr>
          <w:rFonts w:ascii="Cambria" w:eastAsia="Calibri" w:hAnsi="Cambria" w:cs="Calibri Light"/>
          <w:vertAlign w:val="subscript"/>
        </w:rPr>
        <w:t>I</w:t>
      </w:r>
      <w:r w:rsidRPr="006E3E83">
        <w:rPr>
          <w:rFonts w:ascii="Cambria" w:eastAsia="Calibri" w:hAnsi="Cambria" w:cs="Calibri Light"/>
        </w:rPr>
        <w:t xml:space="preserve"> </w:t>
      </w:r>
      <w:r w:rsidRPr="006E3E83">
        <w:rPr>
          <w:rFonts w:ascii="Cambria" w:eastAsia="Calibri" w:hAnsi="Cambria" w:cs="Calibri Light"/>
        </w:rPr>
        <w:tab/>
        <w:t>to procentowa wartość wzrostu cen wynikająca z I Wskaźnika GUS (wyrażona jako %);</w:t>
      </w:r>
    </w:p>
    <w:p w14:paraId="110A29F2" w14:textId="77777777" w:rsidR="009D72B4" w:rsidRPr="006E3E83" w:rsidRDefault="009D72B4" w:rsidP="009D72B4">
      <w:pPr>
        <w:spacing w:before="240" w:after="240"/>
        <w:ind w:left="2268" w:hanging="850"/>
        <w:jc w:val="both"/>
        <w:rPr>
          <w:rFonts w:ascii="Cambria" w:eastAsia="Calibri" w:hAnsi="Cambria" w:cs="Calibri Light"/>
        </w:rPr>
      </w:pPr>
      <w:bookmarkStart w:id="20" w:name="_Hlk116648587"/>
      <w:r w:rsidRPr="006E3E83">
        <w:rPr>
          <w:rFonts w:ascii="Cambria" w:eastAsia="Calibri" w:hAnsi="Cambria" w:cs="Calibri Light"/>
        </w:rPr>
        <w:t xml:space="preserve">Z zastrzeżeniem, że w przypadku, gdy: </w:t>
      </w:r>
    </w:p>
    <w:p w14:paraId="4DF7DBF1" w14:textId="77777777" w:rsidR="009D72B4" w:rsidRPr="006E3E83" w:rsidRDefault="009D72B4" w:rsidP="009D72B4">
      <w:pPr>
        <w:spacing w:before="240" w:after="240"/>
        <w:ind w:left="2268" w:hanging="850"/>
        <w:jc w:val="both"/>
        <w:rPr>
          <w:rFonts w:ascii="Cambria" w:eastAsia="Calibri" w:hAnsi="Cambria" w:cs="Calibri Light"/>
        </w:rPr>
      </w:pPr>
      <w:r w:rsidRPr="006E3E83">
        <w:rPr>
          <w:rFonts w:ascii="Cambria" w:eastAsia="Calibri" w:hAnsi="Cambria" w:cs="Calibri Light"/>
        </w:rPr>
        <w:t>(i)</w:t>
      </w:r>
      <w:r w:rsidRPr="006E3E83">
        <w:rPr>
          <w:rFonts w:ascii="Cambria" w:eastAsia="Calibri" w:hAnsi="Cambria" w:cs="Calibri Light"/>
        </w:rPr>
        <w:tab/>
        <w:t xml:space="preserve">wartość wzrostu cen wynikająca z I Wskaźnika GUS będzie mniejsza niż 2% to wówczas do obliczenia </w:t>
      </w: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zostanie przyjęta wartość 0 (zero); </w:t>
      </w:r>
    </w:p>
    <w:p w14:paraId="38BD7AC7" w14:textId="77777777" w:rsidR="009D72B4" w:rsidRPr="006E3E83" w:rsidRDefault="009D72B4" w:rsidP="009D72B4">
      <w:pPr>
        <w:spacing w:before="240" w:after="240"/>
        <w:ind w:left="2268" w:hanging="850"/>
        <w:jc w:val="both"/>
        <w:rPr>
          <w:rFonts w:ascii="Cambria" w:eastAsia="Calibri" w:hAnsi="Cambria" w:cs="Calibri Light"/>
        </w:rPr>
      </w:pPr>
      <w:r w:rsidRPr="006E3E83">
        <w:rPr>
          <w:rFonts w:ascii="Cambria" w:eastAsia="Calibri" w:hAnsi="Cambria" w:cs="Calibri Light"/>
        </w:rPr>
        <w:t>(ii)</w:t>
      </w:r>
      <w:r w:rsidRPr="006E3E83">
        <w:rPr>
          <w:rFonts w:ascii="Cambria" w:eastAsia="Calibri" w:hAnsi="Cambria" w:cs="Calibri Light"/>
        </w:rPr>
        <w:tab/>
        <w:t xml:space="preserve">wartość spadku cen wynikająca z I Wskaźnika GUS będzie mniejsza niż 2% to wówczas do obliczenia </w:t>
      </w: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zostanie przyjęta wartość 0 (zero); </w:t>
      </w:r>
    </w:p>
    <w:bookmarkEnd w:id="20"/>
    <w:p w14:paraId="581BF00B" w14:textId="77777777" w:rsidR="009D72B4" w:rsidRPr="006E3E83" w:rsidRDefault="009D72B4" w:rsidP="009D72B4">
      <w:pPr>
        <w:spacing w:before="240" w:after="240"/>
        <w:ind w:left="1418" w:hanging="851"/>
        <w:jc w:val="both"/>
        <w:rPr>
          <w:rFonts w:ascii="Cambria" w:eastAsia="Calibri" w:hAnsi="Cambria" w:cs="Calibri Light"/>
        </w:rPr>
      </w:pPr>
      <w:r w:rsidRPr="006E3E83">
        <w:rPr>
          <w:rFonts w:ascii="Cambria" w:eastAsia="Calibri" w:hAnsi="Cambria" w:cs="Calibri Light"/>
        </w:rPr>
        <w:t>CPI</w:t>
      </w:r>
      <w:r w:rsidRPr="006E3E83">
        <w:rPr>
          <w:rFonts w:ascii="Cambria" w:eastAsia="Calibri" w:hAnsi="Cambria" w:cs="Calibri Light"/>
          <w:vertAlign w:val="subscript"/>
        </w:rPr>
        <w:t>II</w:t>
      </w:r>
      <w:r w:rsidRPr="006E3E83">
        <w:rPr>
          <w:rFonts w:ascii="Cambria" w:eastAsia="Calibri" w:hAnsi="Cambria" w:cs="Calibri Light"/>
        </w:rPr>
        <w:t xml:space="preserve"> </w:t>
      </w:r>
      <w:r w:rsidRPr="006E3E83">
        <w:rPr>
          <w:rFonts w:ascii="Cambria" w:eastAsia="Calibri" w:hAnsi="Cambria" w:cs="Calibri Light"/>
        </w:rPr>
        <w:tab/>
        <w:t>to procentowa wartość wzrostu cen wynikająca w II Wskaźnika GUS (wyrażona jako %);</w:t>
      </w:r>
    </w:p>
    <w:p w14:paraId="42D4C856" w14:textId="77777777" w:rsidR="009D72B4" w:rsidRPr="006E3E83" w:rsidRDefault="009D72B4" w:rsidP="009D72B4">
      <w:pPr>
        <w:spacing w:before="240" w:after="240"/>
        <w:ind w:left="2268" w:hanging="850"/>
        <w:jc w:val="both"/>
        <w:rPr>
          <w:rFonts w:ascii="Cambria" w:eastAsia="Calibri" w:hAnsi="Cambria" w:cs="Calibri Light"/>
        </w:rPr>
      </w:pPr>
      <w:r w:rsidRPr="006E3E83">
        <w:rPr>
          <w:rFonts w:ascii="Cambria" w:eastAsia="Calibri" w:hAnsi="Cambria" w:cs="Calibri Light"/>
        </w:rPr>
        <w:t xml:space="preserve">Z zastrzeżeniem, że w przypadku, gdy: </w:t>
      </w:r>
      <w:r w:rsidRPr="006E3E83">
        <w:rPr>
          <w:rFonts w:ascii="Cambria" w:eastAsia="Calibri" w:hAnsi="Cambria" w:cs="Calibri Light"/>
        </w:rPr>
        <w:tab/>
      </w:r>
    </w:p>
    <w:p w14:paraId="78166C1F" w14:textId="77777777" w:rsidR="009D72B4" w:rsidRPr="006E3E83" w:rsidRDefault="009D72B4" w:rsidP="009D72B4">
      <w:pPr>
        <w:spacing w:before="240" w:after="240"/>
        <w:ind w:left="2268" w:hanging="850"/>
        <w:jc w:val="both"/>
        <w:rPr>
          <w:rFonts w:ascii="Cambria" w:eastAsia="Calibri" w:hAnsi="Cambria" w:cs="Calibri Light"/>
        </w:rPr>
      </w:pPr>
      <w:r w:rsidRPr="006E3E83">
        <w:rPr>
          <w:rFonts w:ascii="Cambria" w:eastAsia="Calibri" w:hAnsi="Cambria" w:cs="Calibri Light"/>
        </w:rPr>
        <w:t>(i)</w:t>
      </w:r>
      <w:r w:rsidRPr="006E3E83">
        <w:rPr>
          <w:rFonts w:ascii="Cambria" w:eastAsia="Calibri" w:hAnsi="Cambria" w:cs="Calibri Light"/>
        </w:rPr>
        <w:tab/>
        <w:t xml:space="preserve">wartość wzrostu cen wynikająca z II Wskaźnika GUS będzie mniejsza niż 2% to wówczas do obliczenia </w:t>
      </w: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zostanie przyjęta wartość 0 (zero); </w:t>
      </w:r>
    </w:p>
    <w:p w14:paraId="0F3EDC26" w14:textId="77777777" w:rsidR="009D72B4" w:rsidRPr="006E3E83" w:rsidRDefault="009D72B4" w:rsidP="009D72B4">
      <w:pPr>
        <w:spacing w:before="240" w:after="240"/>
        <w:ind w:left="2268" w:hanging="850"/>
        <w:jc w:val="both"/>
        <w:rPr>
          <w:rFonts w:ascii="Cambria" w:eastAsia="Calibri" w:hAnsi="Cambria" w:cs="Calibri Light"/>
        </w:rPr>
      </w:pPr>
      <w:r w:rsidRPr="006E3E83">
        <w:rPr>
          <w:rFonts w:ascii="Cambria" w:eastAsia="Calibri" w:hAnsi="Cambria" w:cs="Calibri Light"/>
        </w:rPr>
        <w:t>(ii)</w:t>
      </w:r>
      <w:r w:rsidRPr="006E3E83">
        <w:rPr>
          <w:rFonts w:ascii="Cambria" w:eastAsia="Calibri" w:hAnsi="Cambria" w:cs="Calibri Light"/>
        </w:rPr>
        <w:tab/>
        <w:t xml:space="preserve">wartość spadku cen wynikająca z II Wskaźnika GUS będzie mniejsza niż 2% to wówczas do obliczenia </w:t>
      </w:r>
      <w:proofErr w:type="spellStart"/>
      <w:r w:rsidRPr="006E3E83">
        <w:rPr>
          <w:rFonts w:ascii="Cambria" w:eastAsia="Calibri" w:hAnsi="Cambria" w:cs="Calibri Light"/>
        </w:rPr>
        <w:t>Cn</w:t>
      </w:r>
      <w:proofErr w:type="spellEnd"/>
      <w:r w:rsidRPr="006E3E83">
        <w:rPr>
          <w:rFonts w:ascii="Cambria" w:eastAsia="Calibri" w:hAnsi="Cambria" w:cs="Calibri Light"/>
        </w:rPr>
        <w:t xml:space="preserve"> zostanie przyjęta wartość 0 (zero); </w:t>
      </w:r>
    </w:p>
    <w:p w14:paraId="79904D15" w14:textId="77777777" w:rsidR="009D72B4" w:rsidRPr="006E3E83" w:rsidRDefault="009D72B4" w:rsidP="009D72B4">
      <w:pPr>
        <w:spacing w:before="240" w:after="240"/>
        <w:ind w:left="567"/>
        <w:jc w:val="both"/>
        <w:rPr>
          <w:rFonts w:ascii="Cambria" w:eastAsia="Calibri" w:hAnsi="Cambria" w:cs="Calibri Light"/>
        </w:rPr>
      </w:pPr>
      <w:r w:rsidRPr="006E3E83">
        <w:rPr>
          <w:rFonts w:ascii="Cambria" w:eastAsia="Calibri" w:hAnsi="Cambria" w:cs="Calibri Light"/>
        </w:rPr>
        <w:t>W przypadku, gdy wartość CPI</w:t>
      </w:r>
      <w:r w:rsidRPr="006E3E83">
        <w:rPr>
          <w:rFonts w:ascii="Cambria" w:eastAsia="Calibri" w:hAnsi="Cambria" w:cs="Calibri Light"/>
          <w:vertAlign w:val="subscript"/>
        </w:rPr>
        <w:t>I</w:t>
      </w:r>
      <w:r w:rsidRPr="006E3E83">
        <w:rPr>
          <w:rFonts w:ascii="Cambria" w:eastAsia="Calibri" w:hAnsi="Cambria" w:cs="Calibri Light"/>
        </w:rPr>
        <w:t xml:space="preserve"> wynosić będzie 0 (zero) oraz wartość CPI</w:t>
      </w:r>
      <w:r w:rsidRPr="006E3E83">
        <w:rPr>
          <w:rFonts w:ascii="Cambria" w:eastAsia="Calibri" w:hAnsi="Cambria" w:cs="Calibri Light"/>
          <w:vertAlign w:val="subscript"/>
        </w:rPr>
        <w:t>II</w:t>
      </w:r>
      <w:r w:rsidRPr="006E3E83">
        <w:rPr>
          <w:rFonts w:ascii="Cambria" w:eastAsia="Calibri" w:hAnsi="Cambria" w:cs="Calibri Light"/>
        </w:rPr>
        <w:t xml:space="preserve"> wynosić będzie 0 (zero) to wówczas Waloryzacja nie będzie dokonywana. </w:t>
      </w:r>
    </w:p>
    <w:p w14:paraId="2FEA1012" w14:textId="77777777" w:rsidR="009D72B4" w:rsidRPr="006E3E83" w:rsidRDefault="009D72B4" w:rsidP="009D72B4">
      <w:pPr>
        <w:spacing w:before="240" w:after="240"/>
        <w:ind w:left="567"/>
        <w:jc w:val="both"/>
        <w:rPr>
          <w:rFonts w:ascii="Cambria" w:eastAsia="Calibri" w:hAnsi="Cambria" w:cs="Calibri Light"/>
        </w:rPr>
      </w:pPr>
      <w:r w:rsidRPr="006E3E83">
        <w:rPr>
          <w:rFonts w:ascii="Cambria" w:eastAsia="Calibri" w:hAnsi="Cambria" w:cs="Calibri Light"/>
        </w:rPr>
        <w:t xml:space="preserve">Wyniki mnożenia zostaną zaokrąglone zostaną do dwóch miejsc po przecinku. </w:t>
      </w:r>
    </w:p>
    <w:p w14:paraId="41775CAE"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6.</w:t>
      </w:r>
      <w:r w:rsidRPr="006E3E83">
        <w:rPr>
          <w:rFonts w:ascii="Cambria" w:eastAsia="Calibri" w:hAnsi="Cambria" w:cs="Calibri Light"/>
        </w:rPr>
        <w:tab/>
        <w:t xml:space="preserve">Nowe (zwaloryzowane) ceny jednostkowe będą dotyczyć zapłaty należnej Wykonawcy za czynności odebrane po Dniu Dokonania Waloryzacji, z zastrzeżeniem postanowień ust. 8. </w:t>
      </w:r>
    </w:p>
    <w:p w14:paraId="1B2B4665"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7.</w:t>
      </w:r>
      <w:r w:rsidRPr="006E3E83">
        <w:rPr>
          <w:rFonts w:ascii="Cambria" w:eastAsia="Calibri" w:hAnsi="Cambria" w:cs="Calibri Light"/>
        </w:rPr>
        <w:tab/>
        <w:t xml:space="preserve">Nowe (zwaloryzowane) ceny jednostkowe będą zastosowane do określenia: </w:t>
      </w:r>
    </w:p>
    <w:p w14:paraId="66385998" w14:textId="77777777" w:rsidR="009D72B4" w:rsidRPr="006E3E83" w:rsidRDefault="009D72B4" w:rsidP="009D72B4">
      <w:pPr>
        <w:spacing w:before="240" w:after="240"/>
        <w:ind w:left="1134" w:hanging="567"/>
        <w:jc w:val="both"/>
        <w:rPr>
          <w:rFonts w:ascii="Cambria" w:eastAsia="Calibri" w:hAnsi="Cambria" w:cs="Calibri Light"/>
        </w:rPr>
      </w:pPr>
      <w:r w:rsidRPr="006E3E83">
        <w:rPr>
          <w:rFonts w:ascii="Cambria" w:eastAsia="Calibri" w:hAnsi="Cambria" w:cs="Calibri Light"/>
        </w:rPr>
        <w:t xml:space="preserve">1) </w:t>
      </w:r>
      <w:r w:rsidRPr="006E3E83">
        <w:rPr>
          <w:rFonts w:ascii="Cambria" w:eastAsia="Calibri" w:hAnsi="Cambria" w:cs="Calibri Light"/>
        </w:rPr>
        <w:tab/>
        <w:t xml:space="preserve">wartości prac objętych Zleceniem jako podstawy wymiaru kary umownej, o której mowa w § 13 ust. 1 pkt 2 naliczanej w związku z czynnościami zleconymi po Dniu Dokonania Waloryzacji. </w:t>
      </w:r>
    </w:p>
    <w:p w14:paraId="1AD2124F" w14:textId="77777777" w:rsidR="009D72B4" w:rsidRPr="006E3E83" w:rsidRDefault="009D72B4" w:rsidP="009D72B4">
      <w:pPr>
        <w:spacing w:before="240" w:after="240"/>
        <w:ind w:left="1134" w:hanging="567"/>
        <w:jc w:val="both"/>
        <w:rPr>
          <w:rFonts w:ascii="Cambria" w:eastAsia="Calibri" w:hAnsi="Cambria" w:cs="Calibri Light"/>
        </w:rPr>
      </w:pPr>
      <w:r w:rsidRPr="006E3E83">
        <w:rPr>
          <w:rFonts w:ascii="Cambria" w:eastAsia="Calibri" w:hAnsi="Cambria" w:cs="Calibri Light"/>
        </w:rPr>
        <w:t xml:space="preserve">2) </w:t>
      </w:r>
      <w:r w:rsidRPr="006E3E83">
        <w:rPr>
          <w:rFonts w:ascii="Cambria" w:eastAsia="Calibri" w:hAnsi="Cambria" w:cs="Calibri Light"/>
        </w:rPr>
        <w:tab/>
        <w:t xml:space="preserve">Wartości Przedmiotu Umowy jako podstawy wymiaru kary umownej, o której mowa w § 13 ust. 3 naliczanej po Dniu Dokonania Waloryzacji. </w:t>
      </w:r>
    </w:p>
    <w:p w14:paraId="08151E5E"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8.</w:t>
      </w:r>
      <w:r w:rsidRPr="006E3E83">
        <w:rPr>
          <w:rFonts w:ascii="Cambria" w:eastAsia="Calibri" w:hAnsi="Cambria" w:cs="Calibri Light"/>
        </w:rPr>
        <w:tab/>
        <w:t xml:space="preserve">Jeżeli czynności zlecone przed Dniem Dokonania Waloryzacji zostaną wykonane w warunkach zwłoki w stosunku do terminu określonego w Zleceniu i będą odbierane po Dniu Dokonania Waloryzacji, w takim przypadku zaplata za ich wykonanie oraz ustalenie wysokości kar </w:t>
      </w:r>
      <w:r w:rsidRPr="006E3E83">
        <w:rPr>
          <w:rFonts w:ascii="Cambria" w:eastAsia="Calibri" w:hAnsi="Cambria" w:cs="Calibri Light"/>
        </w:rPr>
        <w:lastRenderedPageBreak/>
        <w:t>umownych nastąpi na podstawie cen jednostkowych</w:t>
      </w:r>
      <w:r w:rsidRPr="006E3E83">
        <w:rPr>
          <w:rFonts w:ascii="Cambria" w:hAnsi="Cambria" w:cs="Arial"/>
          <w:lang w:eastAsia="pl-PL"/>
        </w:rPr>
        <w:t xml:space="preserve"> </w:t>
      </w:r>
      <w:r w:rsidRPr="006E3E83">
        <w:rPr>
          <w:rFonts w:ascii="Cambria" w:eastAsia="Calibri" w:hAnsi="Cambria" w:cs="Calibri Light"/>
        </w:rPr>
        <w:t xml:space="preserve">podanych w Kosztorysie Ofertowym zawartym w Ofercie. </w:t>
      </w:r>
    </w:p>
    <w:p w14:paraId="2D3AC26F"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9.</w:t>
      </w:r>
      <w:r w:rsidRPr="006E3E83">
        <w:rPr>
          <w:rFonts w:ascii="Cambria" w:eastAsia="Calibri" w:hAnsi="Cambria" w:cs="Calibri Light"/>
        </w:rPr>
        <w:tab/>
        <w:t>Strony ustalają maksymalną wartość obniżenia albo wzrostu Wartości Przedmiotu Umowy w efekcie zastosowania Waloryzacji na poziomie nie większym niż 15 % Wartości Przedmiotu Umowy.</w:t>
      </w:r>
    </w:p>
    <w:p w14:paraId="4241DE56"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10.</w:t>
      </w:r>
      <w:r w:rsidRPr="006E3E83">
        <w:rPr>
          <w:rFonts w:ascii="Cambria" w:eastAsia="Calibri" w:hAnsi="Cambria" w:cs="Calibri Light"/>
        </w:rPr>
        <w:tab/>
        <w:t xml:space="preserve">W związku z dokonaniem Waloryzacji Zabezpieczenie nie ulegnie zmianie. </w:t>
      </w:r>
    </w:p>
    <w:p w14:paraId="73FB640D" w14:textId="77777777" w:rsidR="009D72B4" w:rsidRPr="006E3E83" w:rsidRDefault="009D72B4" w:rsidP="009D72B4">
      <w:pPr>
        <w:spacing w:before="240" w:after="240"/>
        <w:ind w:left="567" w:hanging="567"/>
        <w:jc w:val="both"/>
        <w:rPr>
          <w:rFonts w:ascii="Cambria" w:eastAsia="Calibri" w:hAnsi="Cambria" w:cs="Calibri Light"/>
        </w:rPr>
      </w:pPr>
      <w:r w:rsidRPr="006E3E83">
        <w:rPr>
          <w:rFonts w:ascii="Cambria" w:eastAsia="Calibri" w:hAnsi="Cambria" w:cs="Calibri Light"/>
        </w:rPr>
        <w:t>11.</w:t>
      </w:r>
      <w:r w:rsidRPr="006E3E83">
        <w:rPr>
          <w:rFonts w:ascii="Cambria" w:eastAsia="Calibri" w:hAnsi="Cambria" w:cs="Calibri Light"/>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15CF060B" w14:textId="6D9A3A03"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sidR="009D72B4">
        <w:rPr>
          <w:rFonts w:ascii="Cambria" w:hAnsi="Cambria" w:cs="Arial"/>
          <w:b/>
          <w:sz w:val="22"/>
          <w:szCs w:val="22"/>
          <w:lang w:eastAsia="pl-PL"/>
        </w:rPr>
        <w:t>7</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1EFEFFAF"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w:t>
      </w:r>
      <w:r w:rsidR="009D72B4">
        <w:rPr>
          <w:rFonts w:ascii="Cambria" w:hAnsi="Cambria" w:cs="Arial"/>
          <w:b/>
          <w:bCs/>
          <w:kern w:val="32"/>
          <w:sz w:val="22"/>
          <w:szCs w:val="22"/>
          <w:lang w:eastAsia="pl-PL"/>
        </w:rPr>
        <w:t>8</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Pr="00FD184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1B3BCC39" w:rsidR="0013110C" w:rsidRPr="00FD184C" w:rsidRDefault="00FD184C" w:rsidP="00F73168">
      <w:pPr>
        <w:numPr>
          <w:ilvl w:val="1"/>
          <w:numId w:val="32"/>
        </w:numPr>
        <w:tabs>
          <w:tab w:val="left" w:pos="1134"/>
        </w:tabs>
        <w:suppressAutoHyphens w:val="0"/>
        <w:spacing w:before="120"/>
        <w:ind w:left="1134" w:hanging="560"/>
        <w:jc w:val="both"/>
        <w:rPr>
          <w:rFonts w:ascii="Cambria" w:hAnsi="Cambria" w:cs="Arial"/>
          <w:color w:val="000000"/>
          <w:sz w:val="22"/>
          <w:szCs w:val="22"/>
          <w:lang w:eastAsia="pl-PL"/>
        </w:rPr>
      </w:pPr>
      <w:r w:rsidRPr="00FD184C">
        <w:rPr>
          <w:rFonts w:ascii="Cambria" w:hAnsi="Cambria" w:cs="Arial"/>
          <w:color w:val="000000"/>
          <w:sz w:val="22"/>
          <w:szCs w:val="22"/>
          <w:lang w:eastAsia="pl-PL"/>
        </w:rPr>
        <w:t>Wzór Porozumienia w sprawie ustalenia koordynatora</w:t>
      </w:r>
    </w:p>
    <w:p w14:paraId="4ECAF282"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5AC65611"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05E0B926"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192B9AA8"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8D8ED2F"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50FE8DB"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E651004"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06247067"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EF8D824"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6B88A3CF"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4012805"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6B693057"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D70626E"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1B7CF44C"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23B4D563"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6B6AFF45"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02CFDEC6"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BA20A33"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126E302F"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283B239D"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FD1FBC6"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5B4CE8C"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4648ED2"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50C816CF"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271FDB3E"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0C2A9D69"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59E58E59"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5692D7EE"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5A729901"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964A981"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25C7BA84"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7A4B2F25"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15C8C70" w14:textId="77777777" w:rsidR="00FD184C" w:rsidRDefault="00FD184C" w:rsidP="00FD184C">
      <w:pPr>
        <w:tabs>
          <w:tab w:val="left" w:pos="1134"/>
        </w:tabs>
        <w:suppressAutoHyphens w:val="0"/>
        <w:spacing w:before="120"/>
        <w:rPr>
          <w:rFonts w:ascii="Cambria" w:hAnsi="Cambria" w:cs="Arial"/>
          <w:color w:val="000000"/>
          <w:sz w:val="22"/>
          <w:szCs w:val="22"/>
          <w:lang w:eastAsia="pl-PL"/>
        </w:rPr>
      </w:pPr>
    </w:p>
    <w:p w14:paraId="3D18E6E5"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7F5EC2EB"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7168A881"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571555DF"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688C3356"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659A5696" w14:textId="77777777" w:rsidR="009D72B4" w:rsidRDefault="009D72B4" w:rsidP="00FD184C">
      <w:pPr>
        <w:tabs>
          <w:tab w:val="left" w:pos="1134"/>
        </w:tabs>
        <w:suppressAutoHyphens w:val="0"/>
        <w:spacing w:before="120"/>
        <w:jc w:val="right"/>
        <w:rPr>
          <w:rFonts w:ascii="Cambria" w:hAnsi="Cambria" w:cs="Arial"/>
          <w:b/>
          <w:color w:val="000000"/>
          <w:sz w:val="22"/>
          <w:szCs w:val="22"/>
          <w:lang w:eastAsia="pl-PL"/>
        </w:rPr>
      </w:pPr>
    </w:p>
    <w:p w14:paraId="4FB417B0" w14:textId="63ABBEFE" w:rsidR="0013110C" w:rsidRDefault="0013110C" w:rsidP="00FD184C">
      <w:pPr>
        <w:tabs>
          <w:tab w:val="left" w:pos="1134"/>
        </w:tabs>
        <w:suppressAutoHyphens w:val="0"/>
        <w:spacing w:before="120"/>
        <w:jc w:val="right"/>
        <w:rPr>
          <w:rFonts w:ascii="Cambria" w:hAnsi="Cambria" w:cs="Arial"/>
          <w:b/>
          <w:color w:val="000000"/>
          <w:sz w:val="22"/>
          <w:szCs w:val="22"/>
          <w:lang w:eastAsia="pl-PL"/>
        </w:rPr>
      </w:pPr>
      <w:bookmarkStart w:id="21" w:name="_GoBack"/>
      <w:bookmarkEnd w:id="21"/>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4B07D7F" w:rsidR="0013110C" w:rsidRDefault="0013110C" w:rsidP="00225ACD">
      <w:pPr>
        <w:tabs>
          <w:tab w:val="left" w:pos="1134"/>
        </w:tabs>
        <w:suppressAutoHyphens w:val="0"/>
        <w:spacing w:before="120"/>
        <w:ind w:left="1134" w:hanging="1134"/>
        <w:jc w:val="both"/>
        <w:rPr>
          <w:rFonts w:ascii="Cambria" w:hAnsi="Cambria" w:cs="Arial"/>
          <w:bCs/>
          <w:sz w:val="22"/>
          <w:szCs w:val="22"/>
        </w:rPr>
      </w:pPr>
    </w:p>
    <w:sectPr w:rsidR="0013110C">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0C97" w14:textId="77777777" w:rsidR="00E44855" w:rsidRDefault="00E44855">
      <w:r>
        <w:separator/>
      </w:r>
    </w:p>
  </w:endnote>
  <w:endnote w:type="continuationSeparator" w:id="0">
    <w:p w14:paraId="1A883337" w14:textId="77777777" w:rsidR="00E44855" w:rsidRDefault="00E4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10EFA">
      <w:rPr>
        <w:rFonts w:ascii="Cambria" w:hAnsi="Cambria"/>
        <w:noProof/>
        <w:lang w:eastAsia="pl-PL"/>
      </w:rPr>
      <w:t>25</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BF4F" w14:textId="77777777" w:rsidR="00E44855" w:rsidRDefault="00E44855">
      <w:r>
        <w:separator/>
      </w:r>
    </w:p>
  </w:footnote>
  <w:footnote w:type="continuationSeparator" w:id="0">
    <w:p w14:paraId="05947B80" w14:textId="77777777" w:rsidR="00E44855" w:rsidRDefault="00E44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9768F7D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CCB"/>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EFA"/>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26C21"/>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2B4"/>
    <w:rsid w:val="009D7FED"/>
    <w:rsid w:val="009E08E3"/>
    <w:rsid w:val="009E3305"/>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3B07"/>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184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280B-7963-465F-9731-D6F5BC24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9663</Words>
  <Characters>57978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Robert Furdyna - Nadleśnictwo Kolbuszowa</cp:lastModifiedBy>
  <cp:revision>4</cp:revision>
  <cp:lastPrinted>2022-10-12T07:21:00Z</cp:lastPrinted>
  <dcterms:created xsi:type="dcterms:W3CDTF">2022-10-24T07:51:00Z</dcterms:created>
  <dcterms:modified xsi:type="dcterms:W3CDTF">2022-10-24T08:20:00Z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