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A8" w:rsidRPr="005A10A8" w:rsidRDefault="005A10A8" w:rsidP="005A10A8">
      <w:pPr>
        <w:spacing w:before="120" w:after="120"/>
        <w:rPr>
          <w:rFonts w:cs="Times New Roman"/>
          <w:b/>
          <w:sz w:val="22"/>
          <w:szCs w:val="22"/>
        </w:rPr>
      </w:pPr>
    </w:p>
    <w:p w:rsidR="005A10A8" w:rsidRPr="005A10A8" w:rsidRDefault="005A10A8" w:rsidP="005A10A8">
      <w:pPr>
        <w:rPr>
          <w:rFonts w:ascii="Calibri" w:hAnsi="Calibri"/>
          <w:b/>
          <w:kern w:val="2"/>
          <w:sz w:val="22"/>
          <w:szCs w:val="22"/>
        </w:rPr>
      </w:pPr>
      <w:r w:rsidRPr="005A10A8">
        <w:rPr>
          <w:rFonts w:ascii="Calibri" w:hAnsi="Calibri"/>
          <w:b/>
          <w:color w:val="000000"/>
          <w:kern w:val="2"/>
          <w:sz w:val="22"/>
          <w:szCs w:val="22"/>
        </w:rPr>
        <w:t>Szczegółowy opis przedmiotu zamówienia</w:t>
      </w:r>
      <w:r w:rsidRPr="005A10A8">
        <w:rPr>
          <w:rFonts w:ascii="Calibri" w:hAnsi="Calibri"/>
          <w:kern w:val="2"/>
          <w:sz w:val="22"/>
          <w:szCs w:val="22"/>
        </w:rPr>
        <w:t xml:space="preserve"> </w:t>
      </w:r>
      <w:r w:rsidRPr="005A10A8">
        <w:rPr>
          <w:rFonts w:ascii="Calibri" w:hAnsi="Calibri"/>
          <w:b/>
          <w:kern w:val="2"/>
          <w:sz w:val="22"/>
          <w:szCs w:val="22"/>
        </w:rPr>
        <w:t xml:space="preserve">– </w:t>
      </w:r>
      <w:r w:rsidRPr="005A10A8">
        <w:rPr>
          <w:rFonts w:ascii="Calibri" w:eastAsia="Calibri" w:hAnsi="Calibri" w:cs="Calibri"/>
          <w:b/>
          <w:kern w:val="2"/>
          <w:sz w:val="22"/>
          <w:szCs w:val="22"/>
        </w:rPr>
        <w:t>Załącznik nr 3</w:t>
      </w:r>
    </w:p>
    <w:p w:rsidR="005A10A8" w:rsidRPr="005A10A8" w:rsidRDefault="00F75D51" w:rsidP="005A10A8">
      <w:pPr>
        <w:spacing w:before="120" w:after="120"/>
        <w:rPr>
          <w:rFonts w:ascii="Calibri" w:eastAsia="Calibri" w:hAnsi="Calibri" w:cs="Calibri"/>
          <w:b/>
          <w:kern w:val="2"/>
          <w:sz w:val="22"/>
          <w:szCs w:val="22"/>
        </w:rPr>
      </w:pPr>
      <w:r>
        <w:rPr>
          <w:rFonts w:ascii="Calibri" w:eastAsia="Calibri" w:hAnsi="Calibri" w:cs="Calibri"/>
          <w:b/>
          <w:kern w:val="2"/>
          <w:sz w:val="22"/>
          <w:szCs w:val="22"/>
        </w:rPr>
        <w:t>COZL/DZP/BB/3413/Z-127/2024</w:t>
      </w:r>
      <w:bookmarkStart w:id="0" w:name="_GoBack"/>
      <w:bookmarkEnd w:id="0"/>
      <w:r w:rsidR="005A10A8" w:rsidRPr="005A10A8">
        <w:rPr>
          <w:rFonts w:ascii="Calibri" w:eastAsia="Calibri" w:hAnsi="Calibri" w:cs="Calibri"/>
          <w:b/>
          <w:kern w:val="2"/>
          <w:sz w:val="22"/>
          <w:szCs w:val="22"/>
        </w:rPr>
        <w:t xml:space="preserve"> </w:t>
      </w:r>
      <w:r w:rsidR="005A10A8" w:rsidRPr="005A10A8">
        <w:rPr>
          <w:rFonts w:ascii="Calibri" w:hAnsi="Calibri"/>
          <w:b/>
          <w:kern w:val="2"/>
          <w:sz w:val="22"/>
          <w:szCs w:val="22"/>
        </w:rPr>
        <w:t>Świadczenie usług telekomunikacyjnych</w:t>
      </w:r>
      <w:r w:rsidR="005A10A8" w:rsidRPr="005A10A8">
        <w:rPr>
          <w:rFonts w:ascii="Calibri" w:eastAsia="Calibri" w:hAnsi="Calibri" w:cs="Calibri"/>
          <w:b/>
          <w:kern w:val="2"/>
          <w:sz w:val="22"/>
          <w:szCs w:val="22"/>
        </w:rPr>
        <w:tab/>
      </w:r>
    </w:p>
    <w:p w:rsidR="005A10A8" w:rsidRPr="005A10A8" w:rsidRDefault="005A10A8" w:rsidP="005A10A8">
      <w:pPr>
        <w:spacing w:before="120" w:after="120"/>
        <w:rPr>
          <w:rFonts w:cs="Times New Roman"/>
          <w:b/>
          <w:sz w:val="22"/>
          <w:szCs w:val="22"/>
        </w:rPr>
      </w:pPr>
      <w:r w:rsidRPr="005A10A8">
        <w:rPr>
          <w:rFonts w:ascii="Calibri" w:eastAsia="Calibri" w:hAnsi="Calibri" w:cs="Calibri"/>
          <w:b/>
          <w:kern w:val="2"/>
          <w:sz w:val="22"/>
          <w:szCs w:val="22"/>
        </w:rPr>
        <w:tab/>
      </w:r>
    </w:p>
    <w:p w:rsidR="002713AA" w:rsidRPr="005A10A8" w:rsidRDefault="000E652F">
      <w:pPr>
        <w:numPr>
          <w:ilvl w:val="0"/>
          <w:numId w:val="1"/>
        </w:numPr>
        <w:tabs>
          <w:tab w:val="left" w:pos="454"/>
        </w:tabs>
        <w:spacing w:after="119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Przedmiotem zamówienia jest: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after="119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świadczenie usług telekomunikacyjnych (telefonia stacjonarna) na potrzeby COZL przez okres 24 miesięcy, w zakresie połączeń przychodzących oraz wychodzących lokalnych (strefowych), międzystrefowych, międzynarodowych i do sieci telefonii komórkowej generowanych z numerów należących do Zamawiającego,</w:t>
      </w:r>
    </w:p>
    <w:p w:rsidR="002713AA" w:rsidRPr="005A10A8" w:rsidRDefault="000E652F">
      <w:pPr>
        <w:numPr>
          <w:ilvl w:val="0"/>
          <w:numId w:val="1"/>
        </w:numPr>
        <w:tabs>
          <w:tab w:val="left" w:pos="454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 xml:space="preserve">Zamawiający wykorzystuje szacunkowo </w:t>
      </w:r>
      <w:r w:rsidR="0003098E">
        <w:rPr>
          <w:rFonts w:cs="Times New Roman"/>
          <w:sz w:val="22"/>
          <w:szCs w:val="22"/>
        </w:rPr>
        <w:t>66</w:t>
      </w:r>
      <w:r w:rsidRPr="005A10A8">
        <w:rPr>
          <w:rFonts w:cs="Times New Roman"/>
          <w:sz w:val="22"/>
          <w:szCs w:val="22"/>
        </w:rPr>
        <w:t xml:space="preserve"> </w:t>
      </w:r>
      <w:r w:rsidR="00F6740C" w:rsidRPr="005A10A8">
        <w:rPr>
          <w:rFonts w:cs="Times New Roman"/>
          <w:sz w:val="22"/>
          <w:szCs w:val="22"/>
        </w:rPr>
        <w:t>tys.</w:t>
      </w:r>
      <w:r w:rsidRPr="005A10A8">
        <w:rPr>
          <w:rFonts w:cs="Times New Roman"/>
          <w:sz w:val="22"/>
          <w:szCs w:val="22"/>
        </w:rPr>
        <w:t xml:space="preserve"> minut miesięcznie. </w:t>
      </w:r>
    </w:p>
    <w:p w:rsidR="002713AA" w:rsidRPr="005A10A8" w:rsidRDefault="000E652F">
      <w:pPr>
        <w:spacing w:before="120" w:after="120"/>
        <w:ind w:firstLine="454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Struktura miesięcznych połączeń rozkłada się w następujący sposób:</w:t>
      </w:r>
    </w:p>
    <w:p w:rsidR="002713AA" w:rsidRPr="005A10A8" w:rsidRDefault="0003098E">
      <w:pPr>
        <w:numPr>
          <w:ilvl w:val="3"/>
          <w:numId w:val="1"/>
        </w:numPr>
        <w:tabs>
          <w:tab w:val="clear" w:pos="1588"/>
          <w:tab w:val="left" w:pos="1585"/>
        </w:tabs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50 000 min.</w:t>
      </w:r>
      <w:r>
        <w:rPr>
          <w:rFonts w:cs="Times New Roman"/>
          <w:sz w:val="22"/>
          <w:szCs w:val="22"/>
        </w:rPr>
        <w:tab/>
      </w:r>
      <w:r w:rsidR="000E652F" w:rsidRPr="005A10A8">
        <w:rPr>
          <w:rFonts w:cs="Times New Roman"/>
          <w:sz w:val="22"/>
          <w:szCs w:val="22"/>
        </w:rPr>
        <w:t>- połączenia lokalne (strefowe)</w:t>
      </w:r>
      <w:r>
        <w:rPr>
          <w:rFonts w:cs="Times New Roman"/>
          <w:sz w:val="22"/>
          <w:szCs w:val="22"/>
        </w:rPr>
        <w:t xml:space="preserve"> i międzystrefowe</w:t>
      </w:r>
    </w:p>
    <w:p w:rsidR="002713AA" w:rsidRPr="005A10A8" w:rsidRDefault="0003098E">
      <w:pPr>
        <w:numPr>
          <w:ilvl w:val="3"/>
          <w:numId w:val="1"/>
        </w:numPr>
        <w:tabs>
          <w:tab w:val="clear" w:pos="1588"/>
          <w:tab w:val="left" w:pos="1585"/>
        </w:tabs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</w:t>
      </w:r>
      <w:r w:rsidR="000E652F" w:rsidRPr="005A10A8">
        <w:rPr>
          <w:rFonts w:cs="Times New Roman"/>
          <w:sz w:val="22"/>
          <w:szCs w:val="22"/>
        </w:rPr>
        <w:t xml:space="preserve"> </w:t>
      </w:r>
      <w:r w:rsidR="00F6740C" w:rsidRPr="005A10A8">
        <w:rPr>
          <w:rFonts w:cs="Times New Roman"/>
          <w:sz w:val="22"/>
          <w:szCs w:val="22"/>
        </w:rPr>
        <w:t>0</w:t>
      </w:r>
      <w:r w:rsidR="000E652F" w:rsidRPr="005A10A8">
        <w:rPr>
          <w:rFonts w:cs="Times New Roman"/>
          <w:sz w:val="22"/>
          <w:szCs w:val="22"/>
        </w:rPr>
        <w:t>00 min.</w:t>
      </w:r>
      <w:r w:rsidR="000E652F" w:rsidRPr="005A10A8">
        <w:rPr>
          <w:rFonts w:cs="Times New Roman"/>
          <w:sz w:val="22"/>
          <w:szCs w:val="22"/>
        </w:rPr>
        <w:tab/>
        <w:t xml:space="preserve">- połączenia do sieci komórkowych (dla wszystkich operatorów) </w:t>
      </w:r>
    </w:p>
    <w:p w:rsidR="002713AA" w:rsidRPr="005A10A8" w:rsidRDefault="00F6740C">
      <w:pPr>
        <w:numPr>
          <w:ilvl w:val="3"/>
          <w:numId w:val="1"/>
        </w:numPr>
        <w:tabs>
          <w:tab w:val="clear" w:pos="1588"/>
          <w:tab w:val="left" w:pos="1585"/>
        </w:tabs>
        <w:spacing w:before="60" w:after="6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10</w:t>
      </w:r>
      <w:r w:rsidR="000E652F" w:rsidRPr="005A10A8">
        <w:rPr>
          <w:rFonts w:cs="Times New Roman"/>
          <w:sz w:val="22"/>
          <w:szCs w:val="22"/>
        </w:rPr>
        <w:t>0 min.</w:t>
      </w:r>
      <w:r w:rsidR="000E652F" w:rsidRPr="005A10A8">
        <w:rPr>
          <w:rFonts w:cs="Times New Roman"/>
          <w:sz w:val="22"/>
          <w:szCs w:val="22"/>
        </w:rPr>
        <w:tab/>
        <w:t>- połączenia międzynarodowe</w:t>
      </w:r>
    </w:p>
    <w:p w:rsidR="002713AA" w:rsidRPr="005A10A8" w:rsidRDefault="00F6740C">
      <w:pPr>
        <w:numPr>
          <w:ilvl w:val="3"/>
          <w:numId w:val="1"/>
        </w:numPr>
        <w:tabs>
          <w:tab w:val="clear" w:pos="1588"/>
          <w:tab w:val="left" w:pos="1585"/>
        </w:tabs>
        <w:spacing w:before="60" w:after="6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10</w:t>
      </w:r>
      <w:r w:rsidR="000E652F" w:rsidRPr="005A10A8">
        <w:rPr>
          <w:rFonts w:cs="Times New Roman"/>
          <w:sz w:val="22"/>
          <w:szCs w:val="22"/>
        </w:rPr>
        <w:t>0 min.</w:t>
      </w:r>
      <w:r w:rsidR="000E652F" w:rsidRPr="005A10A8">
        <w:rPr>
          <w:rFonts w:cs="Times New Roman"/>
          <w:sz w:val="22"/>
          <w:szCs w:val="22"/>
        </w:rPr>
        <w:tab/>
        <w:t>- połączenia międzynarodowe do sieci komórkowych</w:t>
      </w:r>
    </w:p>
    <w:p w:rsidR="002713AA" w:rsidRPr="005A10A8" w:rsidRDefault="00F6740C">
      <w:pPr>
        <w:numPr>
          <w:ilvl w:val="3"/>
          <w:numId w:val="1"/>
        </w:numPr>
        <w:tabs>
          <w:tab w:val="clear" w:pos="1588"/>
          <w:tab w:val="left" w:pos="1585"/>
        </w:tabs>
        <w:spacing w:before="60" w:after="6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5</w:t>
      </w:r>
      <w:r w:rsidR="000E652F" w:rsidRPr="005A10A8">
        <w:rPr>
          <w:rFonts w:cs="Times New Roman"/>
          <w:sz w:val="22"/>
          <w:szCs w:val="22"/>
        </w:rPr>
        <w:t>00 min.</w:t>
      </w:r>
      <w:r w:rsidR="000E652F" w:rsidRPr="005A10A8">
        <w:rPr>
          <w:rFonts w:cs="Times New Roman"/>
          <w:sz w:val="22"/>
          <w:szCs w:val="22"/>
        </w:rPr>
        <w:tab/>
        <w:t>- połączenia na numery specjalne</w:t>
      </w:r>
    </w:p>
    <w:p w:rsidR="002713AA" w:rsidRPr="005A10A8" w:rsidRDefault="000E652F">
      <w:pPr>
        <w:numPr>
          <w:ilvl w:val="0"/>
          <w:numId w:val="1"/>
        </w:numPr>
        <w:tabs>
          <w:tab w:val="left" w:pos="454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 xml:space="preserve">Zamawiający posiada obecnie 17 numerów zlokalizowanych w budynkach COZL. Obecnym operatorem jest firma </w:t>
      </w:r>
      <w:r w:rsidR="0003098E">
        <w:rPr>
          <w:rFonts w:cs="Times New Roman"/>
          <w:sz w:val="22"/>
          <w:szCs w:val="22"/>
        </w:rPr>
        <w:t>ENTER T&amp;T</w:t>
      </w:r>
      <w:r w:rsidRPr="005A10A8">
        <w:rPr>
          <w:rFonts w:cs="Times New Roman"/>
          <w:sz w:val="22"/>
          <w:szCs w:val="22"/>
        </w:rPr>
        <w:t xml:space="preserve"> S</w:t>
      </w:r>
      <w:r w:rsidR="0003098E">
        <w:rPr>
          <w:rFonts w:cs="Times New Roman"/>
          <w:sz w:val="22"/>
          <w:szCs w:val="22"/>
        </w:rPr>
        <w:t>p. z o.o.</w:t>
      </w:r>
    </w:p>
    <w:p w:rsidR="002713AA" w:rsidRPr="005A10A8" w:rsidRDefault="000E652F">
      <w:pPr>
        <w:numPr>
          <w:ilvl w:val="1"/>
          <w:numId w:val="1"/>
        </w:numPr>
        <w:tabs>
          <w:tab w:val="left" w:pos="1360"/>
        </w:tabs>
        <w:spacing w:before="60" w:after="6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9 numerów na liniach analogowych.</w:t>
      </w:r>
    </w:p>
    <w:p w:rsidR="002713AA" w:rsidRPr="005A10A8" w:rsidRDefault="000E652F">
      <w:pPr>
        <w:numPr>
          <w:ilvl w:val="1"/>
          <w:numId w:val="1"/>
        </w:numPr>
        <w:tabs>
          <w:tab w:val="left" w:pos="1360"/>
        </w:tabs>
        <w:spacing w:before="60" w:after="6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6 numerów na liniach cyfrowych ISDN BRA. Obecnie numery te istnieją jako pojedyncze numery MSN na dwukanałowych łączach ISDN 2B+D (4 szt.) oraz dwa numery MSN na dwukanałowym łączu ISDN 2B+D (1 szt.).</w:t>
      </w:r>
    </w:p>
    <w:p w:rsidR="002713AA" w:rsidRPr="005A10A8" w:rsidRDefault="000E652F">
      <w:pPr>
        <w:numPr>
          <w:ilvl w:val="1"/>
          <w:numId w:val="1"/>
        </w:numPr>
        <w:tabs>
          <w:tab w:val="left" w:pos="1360"/>
        </w:tabs>
        <w:spacing w:before="60" w:after="6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1 numer w usłudze infolinii (0-800). Numer ten jest przekierowywany na jeden z numerów analogowych.</w:t>
      </w:r>
    </w:p>
    <w:p w:rsidR="002713AA" w:rsidRPr="005A10A8" w:rsidRDefault="000E652F">
      <w:pPr>
        <w:numPr>
          <w:ilvl w:val="1"/>
          <w:numId w:val="1"/>
        </w:numPr>
        <w:tabs>
          <w:tab w:val="left" w:pos="1360"/>
        </w:tabs>
        <w:spacing w:before="60" w:after="6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1 łącze ISDN PRA z usługą DDI na 1000 numerów.</w:t>
      </w:r>
    </w:p>
    <w:p w:rsidR="002713AA" w:rsidRPr="005A10A8" w:rsidRDefault="000E652F">
      <w:pPr>
        <w:numPr>
          <w:ilvl w:val="0"/>
          <w:numId w:val="1"/>
        </w:numPr>
        <w:tabs>
          <w:tab w:val="left" w:pos="454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Zamawiający wymaga: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utrzymania 17 numerów telefonicznych z prawem zwiększenia lub zmniejszenia ilości numerów w okresie obowiązywania umowy z możliwością realizacji połączeń lokalnych (strefowych), międzystrefowych, międzynarodowych oraz do sieci telefonii komórkowej z zachowaniem istniejącej numeracji publicznej sieci telefonicznej PSTN i ISDN. Zamawiający zastrzega możliwość likwidacji linii telefonicznych w czasie obowiązywania umowy.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utrzymania linii cyfrowej w standardzie ISDN PRA 30B+D z usługą DDI na 1000 numerów (0-81 454-10-00 do 0-81 454-19-99). Na linii cyfrowej ISDN PRA będzie przypisany numer pilota (0-81 747-75-11).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wszystkie przełączenia linii będą się odbywać po uprzednim ustaleniu dokładnego terminu z Zamawiającym,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 xml:space="preserve">zagwarantowania przepustowości linii 64 </w:t>
      </w:r>
      <w:proofErr w:type="spellStart"/>
      <w:r w:rsidRPr="005A10A8">
        <w:rPr>
          <w:rFonts w:cs="Times New Roman"/>
          <w:sz w:val="22"/>
          <w:szCs w:val="22"/>
        </w:rPr>
        <w:t>kBit</w:t>
      </w:r>
      <w:proofErr w:type="spellEnd"/>
      <w:r w:rsidRPr="005A10A8">
        <w:rPr>
          <w:rFonts w:cs="Times New Roman"/>
          <w:sz w:val="22"/>
          <w:szCs w:val="22"/>
        </w:rPr>
        <w:t xml:space="preserve"> na kanał,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bezbłędnej transmisji faksów grupy 3 i 4,</w:t>
      </w:r>
    </w:p>
    <w:p w:rsidR="005A10A8" w:rsidRPr="005A10A8" w:rsidRDefault="000E652F" w:rsidP="005A10A8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usługi identyfikacji numerów CLIP na łączach,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wykorzystania łączy komutowanych do świadczenie usług telefonicznych,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bCs/>
          <w:sz w:val="22"/>
          <w:szCs w:val="22"/>
        </w:rPr>
        <w:t xml:space="preserve">realizacji przez Wykonawcę usługi polegającej na blokowaniu połączeń wychodzących danego typu </w:t>
      </w:r>
      <w:r w:rsidRPr="005A10A8">
        <w:rPr>
          <w:rFonts w:cs="Times New Roman"/>
          <w:sz w:val="22"/>
          <w:szCs w:val="22"/>
        </w:rPr>
        <w:t>na dowolnym numerze w terminie jednego dnia roboczego od dnia przekazania informacji przez Zamawiającego (faksem lub elektronicznie),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lastRenderedPageBreak/>
        <w:t>przejęcia przez Wykonawcę obowiązku przeprowadzenia ewentualnej procedury związanej z zachowaniem numerów. Koszty z tytułu ewentualnego zachowania numerów telefonów zostaną skalkulowane w jednorazowej opłacie startowej,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koszty instalacji, likwidacji oraz zmiany rodzaju linii telefonicznej Wykonawca skalkuluje w jednorazowej opłacie startowej,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automatycznej preselekcji,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sekundowego rozliczania połączeń w każdym rodzaju ruchu bez opłaty inicjacyjnej za rozpoczęte połączenie,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płaskiego planu taryfowego, tj. bez określenia taryfikacji ze względu na porę dnia oraz dni tygodnia,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 xml:space="preserve">dostarczania przez Wykonawcę w cyklach miesięcznych faktur wraz z rozliczeniem poszczególnych numerów w formie papierowej (tzw. specyfikacja usługi zawierająca informację o wysokości abonamentu, łącznym czasie połączeń wychodzących z podziałem na połączenia lokalne (strefowe), międzystrefowe, do sieci komórkowych i międzynarodowe). </w:t>
      </w:r>
    </w:p>
    <w:p w:rsidR="002713AA" w:rsidRPr="005A10A8" w:rsidRDefault="000E652F">
      <w:pPr>
        <w:tabs>
          <w:tab w:val="left" w:pos="792"/>
        </w:tabs>
        <w:spacing w:before="120" w:after="120"/>
        <w:ind w:left="851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Zamawiający dopuszcza dostarczenie danych rozliczeń szczegółowych (bilingów) z numerów głównych, MSN w wersji elektronicznej w formacie: *.</w:t>
      </w:r>
      <w:proofErr w:type="spellStart"/>
      <w:r w:rsidRPr="005A10A8">
        <w:rPr>
          <w:rFonts w:cs="Times New Roman"/>
          <w:sz w:val="22"/>
          <w:szCs w:val="22"/>
        </w:rPr>
        <w:t>odt</w:t>
      </w:r>
      <w:proofErr w:type="spellEnd"/>
      <w:r w:rsidRPr="005A10A8">
        <w:rPr>
          <w:rFonts w:cs="Times New Roman"/>
          <w:sz w:val="22"/>
          <w:szCs w:val="22"/>
        </w:rPr>
        <w:t>, *.</w:t>
      </w:r>
      <w:proofErr w:type="spellStart"/>
      <w:r w:rsidRPr="005A10A8">
        <w:rPr>
          <w:rFonts w:cs="Times New Roman"/>
          <w:sz w:val="22"/>
          <w:szCs w:val="22"/>
        </w:rPr>
        <w:t>ods</w:t>
      </w:r>
      <w:proofErr w:type="spellEnd"/>
      <w:r w:rsidRPr="005A10A8">
        <w:rPr>
          <w:rFonts w:cs="Times New Roman"/>
          <w:sz w:val="22"/>
          <w:szCs w:val="22"/>
        </w:rPr>
        <w:t xml:space="preserve"> lub *.</w:t>
      </w:r>
      <w:proofErr w:type="spellStart"/>
      <w:r w:rsidRPr="005A10A8">
        <w:rPr>
          <w:rFonts w:cs="Times New Roman"/>
          <w:sz w:val="22"/>
          <w:szCs w:val="22"/>
        </w:rPr>
        <w:t>doc</w:t>
      </w:r>
      <w:proofErr w:type="spellEnd"/>
      <w:r w:rsidRPr="005A10A8">
        <w:rPr>
          <w:rFonts w:cs="Times New Roman"/>
          <w:sz w:val="22"/>
          <w:szCs w:val="22"/>
        </w:rPr>
        <w:t>, *.xls. Rozliczenia szczegółowe mogą być dostarczane drogą elektroniczną (za pośrednictwem poczty elektronicznej lub konta w elektronicznym biurze obsługi). Zestawienia bilingowe muszą zawierać informację o łącznym czasie połączeń zainicjowanych w okresie rozliczeniowym, którego dotyczy zestawienie wszystkich rozmów z podaniem numeru abonenta wybierającego i wybieranego, datę i godzinę rozpoczęcia połączenia, czas rozmowy podany z dokładnością do jednej sekundy, koszt połączenia. Zestawienia bilingowe w wersji elektronicznej dostarczane będą w terminie do 14 dni od zakończenia okresu rozliczeniowego,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technicznej realizacji łączy telekomunikacyjnych kablowych doprowadzonych do jego siedziby w taki sposób, aby awaria jednego łącza nie spowodowała przerwy w łączności na więcej niż 10 % linii i kanałów,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 xml:space="preserve">świadczenia usługi objętej postępowaniem w taki sposób i za pomocą takich urządzeń, aby zapewnić możliwość równoczesnej realizacji połączeń telefonicznych dla 15 użytkowników (numerów) przez uruchomienie łączności pomiędzy nimi, do publicznej sieci telefonicznej 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zachowania dotychczasowych numerów.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 xml:space="preserve">zamawiający nie dopuszcza przerw w działaniu sieci telekomunikacyjnej w przypadku zmiany operatora powyżej 2 godzin.  </w:t>
      </w:r>
    </w:p>
    <w:p w:rsidR="002713AA" w:rsidRPr="005A10A8" w:rsidRDefault="000E652F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przejście na innego operatora nie może odbywać się w dniach roboczych w godzinach 7.00 - 17.00. O terminie prac należy poinformować zamawiającego w terminie 3-dniowym przed rozpoczęciem prac.</w:t>
      </w:r>
    </w:p>
    <w:p w:rsidR="002713AA" w:rsidRPr="005A10A8" w:rsidRDefault="000E652F">
      <w:pPr>
        <w:numPr>
          <w:ilvl w:val="0"/>
          <w:numId w:val="1"/>
        </w:numPr>
        <w:tabs>
          <w:tab w:val="left" w:pos="454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Zamawiający dopuszcza:</w:t>
      </w:r>
    </w:p>
    <w:p w:rsidR="002713AA" w:rsidRDefault="000E652F" w:rsidP="005A10A8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możliwość zainstalowania urządzeń niezbędnych do świadczenia usługi będącej przedmiotem niniejszego postępowania. W takim przypadku Zamawiający udostępni pomieszczenie niezbędne do zainstalowania urządzeń – wszelkie ewentualne koszty z tym związane Wykonawca skalkuluje w ramach jednorazowej opłaty startowej.</w:t>
      </w:r>
    </w:p>
    <w:p w:rsidR="0003098E" w:rsidRPr="005A10A8" w:rsidRDefault="0003098E" w:rsidP="005A10A8">
      <w:pPr>
        <w:numPr>
          <w:ilvl w:val="1"/>
          <w:numId w:val="1"/>
        </w:numPr>
        <w:tabs>
          <w:tab w:val="left" w:pos="792"/>
        </w:tabs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koszty działania w/w urządzeń oraz dostęp do </w:t>
      </w:r>
      <w:r w:rsidR="0079359A">
        <w:rPr>
          <w:rFonts w:cs="Times New Roman"/>
          <w:sz w:val="22"/>
          <w:szCs w:val="22"/>
        </w:rPr>
        <w:t xml:space="preserve">niezbędnych </w:t>
      </w:r>
      <w:r>
        <w:rPr>
          <w:rFonts w:cs="Times New Roman"/>
          <w:sz w:val="22"/>
          <w:szCs w:val="22"/>
        </w:rPr>
        <w:t xml:space="preserve">mediów (w szczególności dostęp do </w:t>
      </w:r>
      <w:proofErr w:type="spellStart"/>
      <w:r>
        <w:rPr>
          <w:rFonts w:cs="Times New Roman"/>
          <w:sz w:val="22"/>
          <w:szCs w:val="22"/>
        </w:rPr>
        <w:t>internetu</w:t>
      </w:r>
      <w:proofErr w:type="spellEnd"/>
      <w:r>
        <w:rPr>
          <w:rFonts w:cs="Times New Roman"/>
          <w:sz w:val="22"/>
          <w:szCs w:val="22"/>
        </w:rPr>
        <w:t>) Wykonawca zapewni u operatorów zewnętrznych</w:t>
      </w:r>
      <w:r w:rsidR="0079359A">
        <w:rPr>
          <w:rFonts w:cs="Times New Roman"/>
          <w:sz w:val="22"/>
          <w:szCs w:val="22"/>
        </w:rPr>
        <w:t xml:space="preserve"> we własnym zakresie</w:t>
      </w:r>
      <w:r>
        <w:rPr>
          <w:rFonts w:cs="Times New Roman"/>
          <w:sz w:val="22"/>
          <w:szCs w:val="22"/>
        </w:rPr>
        <w:t>.</w:t>
      </w:r>
    </w:p>
    <w:p w:rsidR="002713AA" w:rsidRPr="005A10A8" w:rsidRDefault="000E652F">
      <w:pPr>
        <w:numPr>
          <w:ilvl w:val="0"/>
          <w:numId w:val="1"/>
        </w:numPr>
        <w:tabs>
          <w:tab w:val="left" w:pos="454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Wykonawca zapewni Zamawiającemu techniczną pomoc związaną ze świadczeniem usług telekomunikacyjnych po zgłoszeniu usterek przez Zamawiającego, obejmującą w szczególności:</w:t>
      </w:r>
    </w:p>
    <w:p w:rsidR="002713AA" w:rsidRPr="005A10A8" w:rsidRDefault="000E652F">
      <w:pPr>
        <w:numPr>
          <w:ilvl w:val="1"/>
          <w:numId w:val="1"/>
        </w:numPr>
        <w:tabs>
          <w:tab w:val="left" w:pos="1359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reakcja na zgłoszone usterki czyli podjęcie działań mających na celu usunięcie awarii do 1 godziny w dni robocze,</w:t>
      </w:r>
    </w:p>
    <w:p w:rsidR="002713AA" w:rsidRPr="005A10A8" w:rsidRDefault="000E652F">
      <w:pPr>
        <w:numPr>
          <w:ilvl w:val="1"/>
          <w:numId w:val="1"/>
        </w:numPr>
        <w:tabs>
          <w:tab w:val="left" w:pos="1359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bezpłatne eliminowanie usterek i nieprawidłowości w pracy łącza do 8 godzin w dni robocze,</w:t>
      </w:r>
    </w:p>
    <w:p w:rsidR="002713AA" w:rsidRPr="005A10A8" w:rsidRDefault="000E652F">
      <w:pPr>
        <w:numPr>
          <w:ilvl w:val="1"/>
          <w:numId w:val="1"/>
        </w:numPr>
        <w:tabs>
          <w:tab w:val="left" w:pos="1359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lastRenderedPageBreak/>
        <w:t>wsparcie techniczne (telefoniczne – bezpłatna linia) codziennie przez 24 godziny w zakresie zgłaszanych awarii oraz konsultacji technicznych dotyczących sygnalizacji,</w:t>
      </w:r>
    </w:p>
    <w:p w:rsidR="002713AA" w:rsidRPr="005A10A8" w:rsidRDefault="000E652F">
      <w:pPr>
        <w:numPr>
          <w:ilvl w:val="0"/>
          <w:numId w:val="1"/>
        </w:numPr>
        <w:tabs>
          <w:tab w:val="left" w:pos="454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 xml:space="preserve">W przypadku zainstalowania u Zamawiającego urządzeń niezbędnych do realizacji usługi Wykonawca zobowiązuje się do pełnego serwisowania. </w:t>
      </w:r>
    </w:p>
    <w:p w:rsidR="002713AA" w:rsidRPr="005A10A8" w:rsidRDefault="000E652F">
      <w:pPr>
        <w:numPr>
          <w:ilvl w:val="0"/>
          <w:numId w:val="1"/>
        </w:numPr>
        <w:tabs>
          <w:tab w:val="left" w:pos="454"/>
        </w:tabs>
        <w:spacing w:before="120" w:after="120"/>
        <w:jc w:val="both"/>
        <w:rPr>
          <w:rFonts w:cs="Times New Roman"/>
          <w:sz w:val="22"/>
          <w:szCs w:val="22"/>
        </w:rPr>
      </w:pPr>
      <w:r w:rsidRPr="005A10A8">
        <w:rPr>
          <w:rFonts w:cs="Times New Roman"/>
          <w:sz w:val="22"/>
          <w:szCs w:val="22"/>
        </w:rPr>
        <w:t>Zestawienie szczegółowe linii i numerów telefonicznych użytkowanych obecnie: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2" w:space="0" w:color="00000A"/>
          <w:insideH w:val="single" w:sz="12" w:space="0" w:color="00000A"/>
          <w:insideV w:val="single" w:sz="2" w:space="0" w:color="00000A"/>
        </w:tblBorders>
        <w:tblCellMar>
          <w:left w:w="54" w:type="dxa"/>
          <w:right w:w="57" w:type="dxa"/>
        </w:tblCellMar>
        <w:tblLook w:val="0000" w:firstRow="0" w:lastRow="0" w:firstColumn="0" w:lastColumn="0" w:noHBand="0" w:noVBand="0"/>
      </w:tblPr>
      <w:tblGrid>
        <w:gridCol w:w="646"/>
        <w:gridCol w:w="1944"/>
        <w:gridCol w:w="2409"/>
        <w:gridCol w:w="2434"/>
      </w:tblGrid>
      <w:tr w:rsidR="002713AA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2713AA" w:rsidRPr="005A10A8" w:rsidRDefault="000E652F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5A10A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44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2713AA" w:rsidRPr="005A10A8" w:rsidRDefault="000E652F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5A10A8">
              <w:rPr>
                <w:b/>
                <w:sz w:val="22"/>
                <w:szCs w:val="22"/>
              </w:rPr>
              <w:t>Numer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2713AA" w:rsidRPr="005A10A8" w:rsidRDefault="000E652F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5A10A8">
              <w:rPr>
                <w:b/>
                <w:sz w:val="22"/>
                <w:szCs w:val="22"/>
              </w:rPr>
              <w:t>Obecny typ linii</w:t>
            </w:r>
          </w:p>
        </w:tc>
        <w:tc>
          <w:tcPr>
            <w:tcW w:w="2434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2713AA" w:rsidRPr="005A10A8" w:rsidRDefault="000E652F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5A10A8">
              <w:rPr>
                <w:b/>
                <w:sz w:val="22"/>
                <w:szCs w:val="22"/>
              </w:rPr>
              <w:t>Obecny operator</w:t>
            </w: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1</w:t>
            </w:r>
          </w:p>
        </w:tc>
        <w:tc>
          <w:tcPr>
            <w:tcW w:w="1944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454-10-00 do 19-99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ISDN PRA + DDI</w:t>
            </w:r>
          </w:p>
        </w:tc>
        <w:tc>
          <w:tcPr>
            <w:tcW w:w="2434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ENTER T&amp;T Sp. z o.o.</w:t>
            </w: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747-75-11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analogowa, przekierowanie na nr (81) 454-10-00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3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740-05-22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analogowa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747-63-27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analogowa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5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747-41-91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analogowa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6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747-89-11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analogowa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7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747-56-82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analogowa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8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740-32-64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analogowa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9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740-79-79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analogowa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10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740-90-04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analogowa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11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747-19-80</w:t>
            </w:r>
          </w:p>
        </w:tc>
        <w:tc>
          <w:tcPr>
            <w:tcW w:w="240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ISDN – 2 MSN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12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747-20-11</w:t>
            </w:r>
          </w:p>
        </w:tc>
        <w:tc>
          <w:tcPr>
            <w:tcW w:w="240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13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747-75-10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ISDN BRA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14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747-37-23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ISDN BRA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15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745-17-18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ISDN BRA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16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(81) 747-75-12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ISDN BRA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3098E" w:rsidRPr="005A10A8" w:rsidTr="0003098E">
        <w:trPr>
          <w:trHeight w:val="20"/>
          <w:jc w:val="center"/>
        </w:trPr>
        <w:tc>
          <w:tcPr>
            <w:tcW w:w="646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:rsidR="0003098E" w:rsidRPr="005A10A8" w:rsidRDefault="0003098E" w:rsidP="0003098E">
            <w:pPr>
              <w:widowControl/>
              <w:suppressAutoHyphens w:val="0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5A10A8">
              <w:rPr>
                <w:sz w:val="22"/>
                <w:szCs w:val="22"/>
              </w:rPr>
              <w:t>17</w:t>
            </w:r>
          </w:p>
        </w:tc>
        <w:tc>
          <w:tcPr>
            <w:tcW w:w="1944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0-800 11-26-95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A10A8">
              <w:rPr>
                <w:rFonts w:cs="Arial"/>
                <w:color w:val="000000"/>
                <w:sz w:val="22"/>
                <w:szCs w:val="22"/>
              </w:rPr>
              <w:t>przekierowanie na nr (81) 740-90-04</w:t>
            </w:r>
          </w:p>
        </w:tc>
        <w:tc>
          <w:tcPr>
            <w:tcW w:w="2434" w:type="dxa"/>
            <w:vMerge/>
            <w:tcBorders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03098E" w:rsidRPr="005A10A8" w:rsidRDefault="0003098E" w:rsidP="0003098E">
            <w:pPr>
              <w:spacing w:beforeLines="20" w:before="48" w:afterLines="20" w:after="4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2713AA" w:rsidRDefault="002713AA">
      <w:pPr>
        <w:rPr>
          <w:sz w:val="22"/>
          <w:szCs w:val="22"/>
        </w:rPr>
      </w:pPr>
    </w:p>
    <w:p w:rsidR="005A10A8" w:rsidRDefault="005A10A8">
      <w:pPr>
        <w:rPr>
          <w:sz w:val="22"/>
          <w:szCs w:val="22"/>
        </w:rPr>
      </w:pPr>
    </w:p>
    <w:p w:rsidR="005A10A8" w:rsidRDefault="005A10A8">
      <w:pPr>
        <w:rPr>
          <w:sz w:val="22"/>
          <w:szCs w:val="22"/>
        </w:rPr>
      </w:pPr>
    </w:p>
    <w:p w:rsidR="005A10A8" w:rsidRDefault="005A10A8" w:rsidP="005A10A8">
      <w:pPr>
        <w:jc w:val="right"/>
        <w:rPr>
          <w:rFonts w:ascii="Tahoma" w:hAnsi="Tahoma"/>
          <w:sz w:val="20"/>
          <w:szCs w:val="20"/>
        </w:rPr>
      </w:pPr>
      <w:r>
        <w:rPr>
          <w:rFonts w:ascii="Tahoma" w:eastAsia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..................................................</w:t>
      </w:r>
    </w:p>
    <w:p w:rsidR="005A10A8" w:rsidRDefault="005A10A8" w:rsidP="005A10A8">
      <w:pPr>
        <w:jc w:val="right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podpis osoby upoważnionej </w:t>
      </w:r>
      <w:r>
        <w:rPr>
          <w:rFonts w:ascii="Tahoma" w:hAnsi="Tahoma"/>
          <w:sz w:val="20"/>
          <w:szCs w:val="20"/>
        </w:rPr>
        <w:br/>
        <w:t xml:space="preserve">do reprezentacji Wykonawcy </w:t>
      </w:r>
    </w:p>
    <w:p w:rsidR="005A10A8" w:rsidRPr="005A10A8" w:rsidRDefault="005A10A8">
      <w:pPr>
        <w:rPr>
          <w:sz w:val="22"/>
          <w:szCs w:val="22"/>
        </w:rPr>
      </w:pPr>
    </w:p>
    <w:sectPr w:rsidR="005A10A8" w:rsidRPr="005A10A8" w:rsidSect="000E652F">
      <w:pgSz w:w="11906" w:h="16838"/>
      <w:pgMar w:top="567" w:right="1134" w:bottom="1134" w:left="1134" w:header="0" w:footer="0" w:gutter="0"/>
      <w:cols w:space="708"/>
      <w:formProt w:val="0"/>
      <w:docGrid w:linePitch="360" w:charSpace="-16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24E7"/>
    <w:multiLevelType w:val="multilevel"/>
    <w:tmpl w:val="C3B6C59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color w:val="000000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359"/>
        </w:tabs>
        <w:ind w:left="1359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0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FA84E4F"/>
    <w:multiLevelType w:val="multilevel"/>
    <w:tmpl w:val="029466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AA"/>
    <w:rsid w:val="0003098E"/>
    <w:rsid w:val="000E652F"/>
    <w:rsid w:val="002713AA"/>
    <w:rsid w:val="005A10A8"/>
    <w:rsid w:val="0079359A"/>
    <w:rsid w:val="00A30D8D"/>
    <w:rsid w:val="00F6740C"/>
    <w:rsid w:val="00F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E2E5-3E93-412D-9BC6-5227A3F7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ascii="Times New Roman" w:eastAsia="Lucida Sans Unicode" w:hAnsi="Times New Roman" w:cs="Tahoma"/>
      <w:color w:val="00000A"/>
      <w:sz w:val="28"/>
      <w:szCs w:val="28"/>
      <w:lang w:eastAsia="ar-SA" w:bidi="pl-PL"/>
    </w:rPr>
  </w:style>
  <w:style w:type="paragraph" w:styleId="Nagwek1">
    <w:name w:val="heading 1"/>
    <w:basedOn w:val="Normalny"/>
    <w:pPr>
      <w:keepNext/>
      <w:outlineLvl w:val="0"/>
    </w:pPr>
    <w:rPr>
      <w:rFonts w:ascii="Tahoma" w:hAnsi="Tahoma"/>
      <w:b/>
    </w:rPr>
  </w:style>
  <w:style w:type="paragraph" w:styleId="Nagwek3">
    <w:name w:val="heading 3"/>
    <w:basedOn w:val="Normalny"/>
    <w:pPr>
      <w:keepNext/>
      <w:spacing w:line="360" w:lineRule="auto"/>
      <w:jc w:val="center"/>
      <w:outlineLvl w:val="2"/>
    </w:pPr>
    <w:rPr>
      <w:rFonts w:ascii="Tahoma" w:hAnsi="Tahoma"/>
    </w:rPr>
  </w:style>
  <w:style w:type="paragraph" w:styleId="Nagwek5">
    <w:name w:val="heading 5"/>
    <w:basedOn w:val="Normalny"/>
    <w:pPr>
      <w:keepNext/>
      <w:outlineLvl w:val="4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color w:val="000000"/>
      <w:sz w:val="18"/>
      <w:szCs w:val="18"/>
    </w:rPr>
  </w:style>
  <w:style w:type="character" w:customStyle="1" w:styleId="WW8Num2z1">
    <w:name w:val="WW8Num2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3">
    <w:name w:val="WW8Num2z3"/>
    <w:rPr>
      <w:rFonts w:ascii="Symbol" w:hAnsi="Symbo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rPr>
      <w:b w:val="0"/>
      <w:bCs w:val="0"/>
      <w:i w:val="0"/>
      <w:iCs w:val="0"/>
      <w:color w:val="000000"/>
      <w:sz w:val="24"/>
      <w:szCs w:val="18"/>
    </w:rPr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b w:val="0"/>
      <w:bCs w:val="0"/>
      <w:i w:val="0"/>
      <w:iCs w:val="0"/>
      <w:color w:val="000000"/>
      <w:sz w:val="24"/>
      <w:szCs w:val="18"/>
    </w:rPr>
  </w:style>
  <w:style w:type="character" w:customStyle="1" w:styleId="ListLabel5">
    <w:name w:val="ListLabel 5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:rFonts w:cs="Symbo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hAnsi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rPr>
      <w:rFonts w:ascii="Tahoma" w:hAnsi="Tahoma"/>
      <w:b/>
    </w:rPr>
  </w:style>
  <w:style w:type="paragraph" w:customStyle="1" w:styleId="Tekstpodstawowywcity21">
    <w:name w:val="Tekst podstawowy wcięty 21"/>
    <w:basedOn w:val="Normalny"/>
    <w:pPr>
      <w:ind w:left="142" w:hanging="142"/>
      <w:jc w:val="both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Bator</dc:creator>
  <cp:lastModifiedBy>bbator</cp:lastModifiedBy>
  <cp:revision>6</cp:revision>
  <cp:lastPrinted>2022-12-15T11:15:00Z</cp:lastPrinted>
  <dcterms:created xsi:type="dcterms:W3CDTF">2022-12-15T10:51:00Z</dcterms:created>
  <dcterms:modified xsi:type="dcterms:W3CDTF">2024-12-19T11:04:00Z</dcterms:modified>
</cp:coreProperties>
</file>