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608"/>
        <w:gridCol w:w="8176"/>
      </w:tblGrid>
      <w:tr w:rsidR="003D4D2C" w:rsidRPr="00E955FF" w14:paraId="666380A3" w14:textId="405C42E3" w:rsidTr="00E955FF">
        <w:trPr>
          <w:trHeight w:val="50"/>
        </w:trPr>
        <w:tc>
          <w:tcPr>
            <w:tcW w:w="8784" w:type="dxa"/>
            <w:gridSpan w:val="2"/>
          </w:tcPr>
          <w:p w14:paraId="27B1FC2C" w14:textId="10BB5A6E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Unit stomatologiczny z wyposażeniem</w:t>
            </w:r>
          </w:p>
        </w:tc>
      </w:tr>
      <w:tr w:rsidR="003D4D2C" w:rsidRPr="00E955FF" w14:paraId="1CA81232" w14:textId="511512D6" w:rsidTr="00E955FF">
        <w:tc>
          <w:tcPr>
            <w:tcW w:w="608" w:type="dxa"/>
          </w:tcPr>
          <w:p w14:paraId="124ADFEF" w14:textId="69F45EFA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176" w:type="dxa"/>
          </w:tcPr>
          <w:p w14:paraId="282B37EF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Konsoleta lekarza (obrotowa wokół fotela):</w:t>
            </w:r>
          </w:p>
          <w:p w14:paraId="1D0DA212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sterowanie unitu dzięki pneumatycznemu systemowi SPS oraz technologii DCS (data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communication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system – automatycznie i niezawodnie koordynującej pracę podzespołów unitu)</w:t>
            </w:r>
          </w:p>
          <w:p w14:paraId="2F0F42A3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system podawania rękawów: „od góry”</w:t>
            </w:r>
          </w:p>
          <w:p w14:paraId="777C4698" w14:textId="5C783244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panel sterowania Deluxe Plus zapewniający: ustawianie pozycji fotela, ich programowanie (6 pozycji ustawień fotela - po 3 dla dwóch potencjalnych użytkowników), zmianę natężenia światła w lampie, spłukiwanie miski spluwaczki i napełnianie kubka pacjenta, ustawianie kierunku i obrotów mikrosilnika elektrycznego (100 – 40 000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>. / min)*, ustawianie parametrów mikrosilnika pracującego w trybie ENDO*, możliwość podłączenia urządzeń zewnętrznych (np. włączanie klimatyzacji)</w:t>
            </w:r>
          </w:p>
          <w:p w14:paraId="75AD3E2F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dmuchawka 3 funkcyjna (z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szybkoodłączalną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metalową końcówką)</w:t>
            </w:r>
          </w:p>
          <w:p w14:paraId="123792C7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moduł do podłączenia turbiny</w:t>
            </w:r>
          </w:p>
          <w:p w14:paraId="79069FF3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moduł do podłączenia mikrosilnika elektrycznego</w:t>
            </w:r>
          </w:p>
          <w:p w14:paraId="0E332E4F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moduł do podłączenia innej końcówki</w:t>
            </w:r>
          </w:p>
          <w:p w14:paraId="5C843815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moduł do podłączenia innej końcówki</w:t>
            </w:r>
          </w:p>
          <w:p w14:paraId="57685DFC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moduł do podłączenia innej końcówki (bez sprayu wodno-powietrznego)</w:t>
            </w:r>
          </w:p>
          <w:p w14:paraId="59EA7D03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blokada pneumatyczna konsolety</w:t>
            </w:r>
          </w:p>
          <w:p w14:paraId="13CACE95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półka </w:t>
            </w:r>
          </w:p>
          <w:p w14:paraId="5D7D8AD2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D2C" w:rsidRPr="00E955FF" w14:paraId="0AD9D5D8" w14:textId="4EB23E31" w:rsidTr="00E955FF">
        <w:tc>
          <w:tcPr>
            <w:tcW w:w="608" w:type="dxa"/>
          </w:tcPr>
          <w:p w14:paraId="76CEC1A2" w14:textId="1EF5ECEE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76" w:type="dxa"/>
          </w:tcPr>
          <w:p w14:paraId="5CA6C3D5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Wielofunkcyjny sterownik nożny</w:t>
            </w:r>
            <w:r w:rsidRPr="00E955F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4B3B2B3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ergonomiczny kształt „dysk”</w:t>
            </w:r>
          </w:p>
          <w:p w14:paraId="7CDB3B37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na specjalnym trwałym przewodzie</w:t>
            </w:r>
          </w:p>
          <w:p w14:paraId="017BA40C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przycisk „chip-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blower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F510598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przełącznik do pracy z wodą lub bez</w:t>
            </w:r>
          </w:p>
          <w:p w14:paraId="74E749E7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D2C" w:rsidRPr="00E955FF" w14:paraId="072094E5" w14:textId="15F54F2F" w:rsidTr="00E955FF">
        <w:tc>
          <w:tcPr>
            <w:tcW w:w="608" w:type="dxa"/>
          </w:tcPr>
          <w:p w14:paraId="61ED7CC2" w14:textId="7272516F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76" w:type="dxa"/>
          </w:tcPr>
          <w:p w14:paraId="355252C2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Blok spluwaczki ROTO-BLOCK (obrotowy wokół fotela):</w:t>
            </w:r>
          </w:p>
          <w:p w14:paraId="323DBC9C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ruchoma ceramiczna spluwaczka z możliwością wychylenia w kierunku pacjenta</w:t>
            </w:r>
          </w:p>
          <w:p w14:paraId="0579883D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ustawiane parametry automatycznego spłukiwania miski i napełniania kubka</w:t>
            </w:r>
          </w:p>
          <w:p w14:paraId="6ED80EA4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D2C" w:rsidRPr="00E955FF" w14:paraId="50351663" w14:textId="28564C92" w:rsidTr="00E955FF">
        <w:tc>
          <w:tcPr>
            <w:tcW w:w="608" w:type="dxa"/>
          </w:tcPr>
          <w:p w14:paraId="07FCB9AF" w14:textId="0EAC055D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76" w:type="dxa"/>
          </w:tcPr>
          <w:p w14:paraId="41A31284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Stanowisko asysty (obrotowe wokół fotela):</w:t>
            </w:r>
          </w:p>
          <w:p w14:paraId="280A1C22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panel sterowania (standard) – zapewniający ustawianie pozycji fotela, ich programowanie (4 programy), zmianę </w:t>
            </w:r>
          </w:p>
          <w:p w14:paraId="26E61773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natężenia światła w lampie, spłukiwanie miski spluwaczki i napełnianie kubka pacjenta </w:t>
            </w:r>
          </w:p>
          <w:p w14:paraId="641E5B1C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na przegubowym ramieniu ustawianym na dowolnej wysokości</w:t>
            </w:r>
          </w:p>
          <w:p w14:paraId="7B9A342F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1 x rękaw ślinociągu i 1 x ssaka (obsługiwane przez system ssący) oraz dmuchawka asysty</w:t>
            </w:r>
          </w:p>
          <w:p w14:paraId="056C33A9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D2C" w:rsidRPr="00E955FF" w14:paraId="17DA4FD1" w14:textId="317CE77C" w:rsidTr="00E955FF">
        <w:tc>
          <w:tcPr>
            <w:tcW w:w="608" w:type="dxa"/>
          </w:tcPr>
          <w:p w14:paraId="1FA8AD82" w14:textId="589B2E61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76" w:type="dxa"/>
          </w:tcPr>
          <w:p w14:paraId="000695BD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Fotel pacjenta (obrotowy wokół podstawy):</w:t>
            </w:r>
          </w:p>
          <w:p w14:paraId="17AB2890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skompensowany ruch oparcia i siedziska (ruch kołyskowy)</w:t>
            </w:r>
          </w:p>
          <w:p w14:paraId="1C3FD8EF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cienkie oparcie</w:t>
            </w:r>
          </w:p>
          <w:p w14:paraId="587207EE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dwa ruchome obrotowe podłokietniki </w:t>
            </w:r>
          </w:p>
          <w:p w14:paraId="29A72B8D" w14:textId="2EFAE7A3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4 pozycje do indywidualnego zaprogramowania (w tym pozycja „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spluwaczkowa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” </w:t>
            </w:r>
            <w:r w:rsidR="00E955FF" w:rsidRPr="00E955FF">
              <w:rPr>
                <w:rFonts w:ascii="Calibri" w:hAnsi="Calibri" w:cs="Calibri"/>
                <w:sz w:val="20"/>
                <w:szCs w:val="20"/>
              </w:rPr>
              <w:br/>
            </w:r>
            <w:r w:rsidRPr="00E955FF">
              <w:rPr>
                <w:rFonts w:ascii="Calibri" w:hAnsi="Calibri" w:cs="Calibri"/>
                <w:sz w:val="20"/>
                <w:szCs w:val="20"/>
              </w:rPr>
              <w:t>i pozycja „0”)</w:t>
            </w:r>
          </w:p>
          <w:p w14:paraId="0D3E7DE4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zagłówek dwuprzegubowy </w:t>
            </w:r>
          </w:p>
          <w:p w14:paraId="31705A1D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sterownik nożny sterowania fotela</w:t>
            </w:r>
          </w:p>
          <w:p w14:paraId="3E3DCC8C" w14:textId="1E8E2C8D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wyłącznik awaryjny ruchu fotela chroniący przed przypadkowym zgnieceniem przedmiotów pod fotelem</w:t>
            </w:r>
          </w:p>
          <w:p w14:paraId="47D788BA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bezszwowa tapicerka – z możliwością wyboru koloru ( co najmniej 10 kolorów)</w:t>
            </w:r>
          </w:p>
          <w:p w14:paraId="25150A07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D2C" w:rsidRPr="00E955FF" w14:paraId="392A4D9D" w14:textId="086803B6" w:rsidTr="00E955FF">
        <w:tc>
          <w:tcPr>
            <w:tcW w:w="608" w:type="dxa"/>
          </w:tcPr>
          <w:p w14:paraId="2D34B867" w14:textId="12E58FEC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176" w:type="dxa"/>
          </w:tcPr>
          <w:p w14:paraId="1ACFDF7F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Lampa LED 500 (mocowana na unicie):</w:t>
            </w:r>
          </w:p>
          <w:p w14:paraId="33BDDDA2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głowica ustawiana w 3-ch płaszczyznach </w:t>
            </w:r>
          </w:p>
          <w:p w14:paraId="2676A176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ustawianie natężenia światła w lampie: wysokie, średnie, niskie oraz tryb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niepolimeryzujacy</w:t>
            </w:r>
            <w:proofErr w:type="spellEnd"/>
          </w:p>
          <w:p w14:paraId="5A931917" w14:textId="283F7BA1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lastRenderedPageBreak/>
              <w:t>włączanie lampy bezdotykowe</w:t>
            </w:r>
          </w:p>
        </w:tc>
      </w:tr>
      <w:tr w:rsidR="003D4D2C" w:rsidRPr="00E955FF" w14:paraId="06AB16EF" w14:textId="0ACACE83" w:rsidTr="00E955FF">
        <w:tc>
          <w:tcPr>
            <w:tcW w:w="608" w:type="dxa"/>
          </w:tcPr>
          <w:p w14:paraId="26F04BCA" w14:textId="301CFAC5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8176" w:type="dxa"/>
          </w:tcPr>
          <w:p w14:paraId="4424C0F9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Pakiet kontroli higieny</w:t>
            </w:r>
            <w:r w:rsidRPr="00E955F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10BE427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system „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flush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>” (przepłukiwania rękawów i końcówek po zabiegu)</w:t>
            </w:r>
          </w:p>
          <w:p w14:paraId="503C81E3" w14:textId="77777777" w:rsidR="003D4D2C" w:rsidRPr="00E955FF" w:rsidRDefault="003D4D2C" w:rsidP="00E955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system zamkniętego obiegu wody na końcówki (2 litry)</w:t>
            </w:r>
          </w:p>
          <w:p w14:paraId="6B98505C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D2C" w:rsidRPr="00E955FF" w14:paraId="028B708B" w14:textId="77777777" w:rsidTr="00E955FF">
        <w:tc>
          <w:tcPr>
            <w:tcW w:w="608" w:type="dxa"/>
          </w:tcPr>
          <w:p w14:paraId="2D243715" w14:textId="3BF73999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176" w:type="dxa"/>
          </w:tcPr>
          <w:p w14:paraId="3FD1B1EE" w14:textId="77777777" w:rsidR="003D4D2C" w:rsidRPr="00E955FF" w:rsidRDefault="003D4D2C" w:rsidP="00E955F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5FF">
              <w:rPr>
                <w:rFonts w:ascii="Calibri" w:hAnsi="Calibri" w:cs="Calibri"/>
                <w:b/>
                <w:bCs/>
                <w:sz w:val="20"/>
                <w:szCs w:val="20"/>
              </w:rPr>
              <w:t>Dodatkowe wyposażenie:</w:t>
            </w:r>
          </w:p>
          <w:p w14:paraId="6AA3D0C7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Mikrosilnik elektryczny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bezszczotkowy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ze światłem z funkcją ENDO typu NSK NLZ</w:t>
            </w:r>
          </w:p>
          <w:p w14:paraId="298D408E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Drugi mikrosilnik elektryczny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bezszczotkowy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ze światłem z funkcją ENDO typu NSK NZL</w:t>
            </w:r>
          </w:p>
          <w:p w14:paraId="2AF24E65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Kątnica ze światłem 1:1 typu W&amp;H SYNEA FUSION WG-56LT</w:t>
            </w:r>
          </w:p>
          <w:p w14:paraId="2CB6451F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Turbina ze światłem typu W&amp;H SYNEA FUSION TG-98L z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szybkozłączką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RQ-24</w:t>
            </w:r>
          </w:p>
          <w:p w14:paraId="6786743A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Skaler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piezoelektryczny ze światłem typu EMS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Piezon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Kit LED – sterowany z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panela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Deluxe Plus</w:t>
            </w:r>
          </w:p>
          <w:p w14:paraId="2C25B73A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Lampa polimeryzacyjna diodowa typu TKD MOON </w:t>
            </w:r>
          </w:p>
          <w:p w14:paraId="3DF303F6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Strzykawko-dmuchawka</w:t>
            </w:r>
          </w:p>
          <w:p w14:paraId="2EEBD0AE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>Zawór wyboru unitu</w:t>
            </w:r>
          </w:p>
          <w:p w14:paraId="27B174A9" w14:textId="77777777" w:rsidR="003D4D2C" w:rsidRPr="00E955FF" w:rsidRDefault="003D4D2C" w:rsidP="00E955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5FF">
              <w:rPr>
                <w:rFonts w:ascii="Calibri" w:hAnsi="Calibri" w:cs="Calibri"/>
                <w:sz w:val="20"/>
                <w:szCs w:val="20"/>
              </w:rPr>
              <w:t xml:space="preserve">Zawór </w:t>
            </w:r>
            <w:proofErr w:type="spellStart"/>
            <w:r w:rsidRPr="00E955FF">
              <w:rPr>
                <w:rFonts w:ascii="Calibri" w:hAnsi="Calibri" w:cs="Calibri"/>
                <w:sz w:val="20"/>
                <w:szCs w:val="20"/>
              </w:rPr>
              <w:t>spluwaczkowy</w:t>
            </w:r>
            <w:proofErr w:type="spellEnd"/>
            <w:r w:rsidRPr="00E955FF">
              <w:rPr>
                <w:rFonts w:ascii="Calibri" w:hAnsi="Calibri" w:cs="Calibri"/>
                <w:sz w:val="20"/>
                <w:szCs w:val="20"/>
              </w:rPr>
              <w:t xml:space="preserve"> do wbudowania do unitu</w:t>
            </w:r>
          </w:p>
          <w:p w14:paraId="6161DDEB" w14:textId="77777777" w:rsidR="003D4D2C" w:rsidRPr="00E955FF" w:rsidRDefault="003D4D2C" w:rsidP="00E955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25D2B9" w14:textId="77777777" w:rsidR="004948DF" w:rsidRPr="00E955FF" w:rsidRDefault="004948DF">
      <w:pPr>
        <w:rPr>
          <w:rFonts w:ascii="Calibri" w:hAnsi="Calibri" w:cs="Calibri"/>
          <w:sz w:val="20"/>
          <w:szCs w:val="20"/>
        </w:rPr>
      </w:pPr>
    </w:p>
    <w:sectPr w:rsidR="004948DF" w:rsidRPr="00E955FF" w:rsidSect="00E955F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52F5" w14:textId="77777777" w:rsidR="00723970" w:rsidRDefault="00723970" w:rsidP="00F33CF4">
      <w:pPr>
        <w:spacing w:after="0" w:line="240" w:lineRule="auto"/>
      </w:pPr>
      <w:r>
        <w:separator/>
      </w:r>
    </w:p>
  </w:endnote>
  <w:endnote w:type="continuationSeparator" w:id="0">
    <w:p w14:paraId="384A8F26" w14:textId="77777777" w:rsidR="00723970" w:rsidRDefault="00723970" w:rsidP="00F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2449" w14:textId="77777777" w:rsidR="00723970" w:rsidRDefault="00723970" w:rsidP="00F33CF4">
      <w:pPr>
        <w:spacing w:after="0" w:line="240" w:lineRule="auto"/>
      </w:pPr>
      <w:r>
        <w:separator/>
      </w:r>
    </w:p>
  </w:footnote>
  <w:footnote w:type="continuationSeparator" w:id="0">
    <w:p w14:paraId="241A55CA" w14:textId="77777777" w:rsidR="00723970" w:rsidRDefault="00723970" w:rsidP="00F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5D" w14:textId="6BBD9AE3" w:rsidR="00F33CF4" w:rsidRDefault="00F33CF4">
    <w:pPr>
      <w:pStyle w:val="Nagwek"/>
      <w:rPr>
        <w:rFonts w:cstheme="minorHAnsi"/>
        <w:i/>
        <w:iCs/>
        <w:sz w:val="18"/>
        <w:szCs w:val="18"/>
      </w:rPr>
    </w:pPr>
    <w:r w:rsidRPr="00E955FF">
      <w:rPr>
        <w:i/>
        <w:iCs/>
        <w:sz w:val="18"/>
        <w:szCs w:val="18"/>
      </w:rPr>
      <w:t xml:space="preserve">Załącznik nr </w:t>
    </w:r>
    <w:r w:rsidR="00E955FF" w:rsidRPr="00E955FF">
      <w:rPr>
        <w:i/>
        <w:iCs/>
        <w:sz w:val="18"/>
        <w:szCs w:val="18"/>
      </w:rPr>
      <w:t>1</w:t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rFonts w:cstheme="minorHAnsi"/>
        <w:i/>
        <w:iCs/>
        <w:sz w:val="18"/>
        <w:szCs w:val="18"/>
      </w:rPr>
      <w:t>Numer postępowania: ZP.26.2.2</w:t>
    </w:r>
    <w:r w:rsidR="00AE352A">
      <w:rPr>
        <w:rFonts w:cstheme="minorHAnsi"/>
        <w:i/>
        <w:iCs/>
        <w:sz w:val="18"/>
        <w:szCs w:val="18"/>
      </w:rPr>
      <w:t>7</w:t>
    </w:r>
    <w:r w:rsidR="00E955FF" w:rsidRPr="00E955FF">
      <w:rPr>
        <w:rFonts w:cstheme="minorHAnsi"/>
        <w:i/>
        <w:iCs/>
        <w:sz w:val="18"/>
        <w:szCs w:val="18"/>
      </w:rPr>
      <w:t>.2023</w:t>
    </w:r>
  </w:p>
  <w:p w14:paraId="360D1567" w14:textId="77777777" w:rsidR="00E955FF" w:rsidRPr="00E955FF" w:rsidRDefault="00E955FF" w:rsidP="00E955FF">
    <w:pPr>
      <w:pStyle w:val="Nagwek"/>
      <w:jc w:val="center"/>
      <w:rPr>
        <w:b/>
        <w:bCs/>
      </w:rPr>
    </w:pPr>
    <w:r w:rsidRPr="00E955FF">
      <w:rPr>
        <w:rFonts w:cstheme="minorHAnsi"/>
        <w:b/>
        <w:bCs/>
      </w:rPr>
      <w:t>Opis przedmiotu zamówienia</w:t>
    </w:r>
  </w:p>
  <w:p w14:paraId="3E53F5E5" w14:textId="77777777" w:rsidR="00E955FF" w:rsidRPr="00E955FF" w:rsidRDefault="00E955FF">
    <w:pPr>
      <w:pStyle w:val="Nagwek"/>
      <w:rPr>
        <w:rFonts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02"/>
    <w:multiLevelType w:val="hybridMultilevel"/>
    <w:tmpl w:val="1C9CE32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5CB"/>
    <w:multiLevelType w:val="hybridMultilevel"/>
    <w:tmpl w:val="77046D7A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E05"/>
    <w:multiLevelType w:val="hybridMultilevel"/>
    <w:tmpl w:val="E414766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3149">
    <w:abstractNumId w:val="0"/>
  </w:num>
  <w:num w:numId="2" w16cid:durableId="1207794662">
    <w:abstractNumId w:val="3"/>
  </w:num>
  <w:num w:numId="3" w16cid:durableId="1840652069">
    <w:abstractNumId w:val="1"/>
  </w:num>
  <w:num w:numId="4" w16cid:durableId="1001814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C"/>
    <w:rsid w:val="0032739F"/>
    <w:rsid w:val="003D4D2C"/>
    <w:rsid w:val="004948DF"/>
    <w:rsid w:val="00723970"/>
    <w:rsid w:val="00A24CD5"/>
    <w:rsid w:val="00AE352A"/>
    <w:rsid w:val="00B85648"/>
    <w:rsid w:val="00CC0468"/>
    <w:rsid w:val="00E955FF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2E88"/>
  <w15:chartTrackingRefBased/>
  <w15:docId w15:val="{2BC860ED-2C89-4B7C-A3BE-77C00FD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D4D2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F33CF4"/>
  </w:style>
  <w:style w:type="paragraph" w:styleId="Nagwek">
    <w:name w:val="header"/>
    <w:basedOn w:val="Normalny"/>
    <w:link w:val="Nagwek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F4"/>
  </w:style>
  <w:style w:type="paragraph" w:styleId="Stopka">
    <w:name w:val="footer"/>
    <w:basedOn w:val="Normalny"/>
    <w:link w:val="Stopka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EB-47C4-4A76-B0D7-279FCFA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cp:lastPrinted>2023-02-22T11:09:00Z</cp:lastPrinted>
  <dcterms:created xsi:type="dcterms:W3CDTF">2023-02-22T10:35:00Z</dcterms:created>
  <dcterms:modified xsi:type="dcterms:W3CDTF">2023-02-24T09:14:00Z</dcterms:modified>
</cp:coreProperties>
</file>