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9B85004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A7925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2DED7B4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BA7925" w:rsidRPr="00EA4AD6">
        <w:rPr>
          <w:rFonts w:ascii="Arial" w:hAnsi="Arial" w:cs="Arial"/>
          <w:b/>
          <w:sz w:val="20"/>
          <w:lang w:eastAsia="x-none"/>
        </w:rPr>
        <w:t>„</w:t>
      </w:r>
      <w:r w:rsidR="00BA7925">
        <w:rPr>
          <w:rFonts w:ascii="Arial" w:eastAsia="Arial" w:hAnsi="Arial" w:cs="Arial"/>
          <w:b/>
          <w:sz w:val="20"/>
          <w:lang w:bidi="pl-PL"/>
        </w:rPr>
        <w:t>Wymiana pokrycia dachowego na budynku Szkoły Podstawowej w Mierzeszynie</w:t>
      </w:r>
      <w:r w:rsidR="00BA7925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BA7925">
        <w:rPr>
          <w:rFonts w:ascii="Arial" w:eastAsia="Arial" w:hAnsi="Arial" w:cs="Arial"/>
          <w:b/>
          <w:sz w:val="20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A9E5717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777FC519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lastRenderedPageBreak/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0"/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51F8E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A7925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22</cp:revision>
  <cp:lastPrinted>2021-05-18T05:44:00Z</cp:lastPrinted>
  <dcterms:created xsi:type="dcterms:W3CDTF">2019-01-27T19:09:00Z</dcterms:created>
  <dcterms:modified xsi:type="dcterms:W3CDTF">2022-08-25T20:06:00Z</dcterms:modified>
</cp:coreProperties>
</file>