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236F4C">
                                <w:rPr>
                                  <w:rFonts w:ascii="Century Gothic" w:hAnsi="Century Gothic"/>
                                  <w:sz w:val="18"/>
                                  <w:szCs w:val="18"/>
                                </w:rPr>
                                <w:t>2667/2432</w:t>
                              </w:r>
                              <w:r>
                                <w:rPr>
                                  <w:rFonts w:ascii="Century Gothic" w:hAnsi="Century Gothic"/>
                                  <w:sz w:val="18"/>
                                  <w:szCs w:val="18"/>
                                </w:rPr>
                                <w:t>/</w:t>
                              </w:r>
                              <w:r w:rsidR="00236F4C">
                                <w:rPr>
                                  <w:rFonts w:ascii="Century Gothic" w:hAnsi="Century Gothic"/>
                                  <w:sz w:val="18"/>
                                  <w:szCs w:val="18"/>
                                </w:rPr>
                                <w:t>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236F4C">
                          <w:rPr>
                            <w:rFonts w:ascii="Century Gothic" w:hAnsi="Century Gothic"/>
                            <w:sz w:val="18"/>
                            <w:szCs w:val="18"/>
                          </w:rPr>
                          <w:t>2667/2432</w:t>
                        </w:r>
                        <w:r>
                          <w:rPr>
                            <w:rFonts w:ascii="Century Gothic" w:hAnsi="Century Gothic"/>
                            <w:sz w:val="18"/>
                            <w:szCs w:val="18"/>
                          </w:rPr>
                          <w:t>/</w:t>
                        </w:r>
                        <w:r w:rsidR="00236F4C">
                          <w:rPr>
                            <w:rFonts w:ascii="Century Gothic" w:hAnsi="Century Gothic"/>
                            <w:sz w:val="18"/>
                            <w:szCs w:val="18"/>
                          </w:rPr>
                          <w:t>24</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Default="00C93878" w:rsidP="00062FBC">
      <w:pPr>
        <w:spacing w:after="0" w:line="240" w:lineRule="auto"/>
        <w:ind w:left="5528" w:firstLine="136"/>
        <w:jc w:val="right"/>
        <w:rPr>
          <w:rFonts w:ascii="Century Gothic" w:hAnsi="Century Gothic"/>
          <w:color w:val="auto"/>
          <w:sz w:val="20"/>
          <w:szCs w:val="20"/>
        </w:rPr>
      </w:pPr>
      <w:r>
        <w:rPr>
          <w:rFonts w:ascii="Century Gothic" w:hAnsi="Century Gothic"/>
          <w:color w:val="auto"/>
          <w:sz w:val="20"/>
          <w:szCs w:val="20"/>
        </w:rPr>
        <w:t xml:space="preserve">Warszawa, </w:t>
      </w:r>
      <w:r w:rsidR="00236F4C">
        <w:rPr>
          <w:rFonts w:ascii="Century Gothic" w:hAnsi="Century Gothic"/>
          <w:color w:val="auto"/>
          <w:sz w:val="20"/>
          <w:szCs w:val="20"/>
        </w:rPr>
        <w:t>03.10.2024</w:t>
      </w:r>
      <w:r w:rsidR="00EF68BA">
        <w:rPr>
          <w:rFonts w:ascii="Century Gothic" w:hAnsi="Century Gothic"/>
          <w:color w:val="auto"/>
          <w:sz w:val="20"/>
          <w:szCs w:val="20"/>
        </w:rPr>
        <w:t xml:space="preserve"> </w:t>
      </w:r>
      <w:r w:rsidR="009052F5">
        <w:rPr>
          <w:rFonts w:ascii="Century Gothic" w:hAnsi="Century Gothic"/>
          <w:color w:val="auto"/>
          <w:sz w:val="20"/>
          <w:szCs w:val="20"/>
        </w:rPr>
        <w:t xml:space="preserve"> r. </w:t>
      </w:r>
      <w:r w:rsidR="00C96DEE">
        <w:rPr>
          <w:rFonts w:ascii="Century Gothic" w:hAnsi="Century Gothic"/>
          <w:color w:val="auto"/>
          <w:sz w:val="20"/>
          <w:szCs w:val="20"/>
        </w:rPr>
        <w:t xml:space="preserve"> </w:t>
      </w:r>
    </w:p>
    <w:p w:rsidR="00892F50" w:rsidRDefault="00892F50"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E3458E" w:rsidRDefault="00E3458E" w:rsidP="00040AF1">
      <w:pPr>
        <w:spacing w:after="0" w:line="240" w:lineRule="auto"/>
        <w:ind w:left="0" w:firstLine="0"/>
        <w:rPr>
          <w:rFonts w:ascii="Century Gothic" w:hAnsi="Century Gothic"/>
          <w:color w:val="auto"/>
          <w:sz w:val="20"/>
          <w:szCs w:val="20"/>
        </w:rPr>
      </w:pPr>
    </w:p>
    <w:p w:rsidR="00D24DB1" w:rsidRDefault="00D24DB1"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C93878" w:rsidP="00830448">
      <w:pPr>
        <w:spacing w:after="0" w:line="240" w:lineRule="auto"/>
        <w:ind w:left="1134" w:hanging="1134"/>
        <w:rPr>
          <w:b/>
          <w:color w:val="auto"/>
          <w:szCs w:val="20"/>
        </w:rPr>
      </w:pPr>
      <w:r w:rsidRPr="00207FB2">
        <w:rPr>
          <w:color w:val="auto"/>
          <w:szCs w:val="20"/>
        </w:rPr>
        <w:t>Dotyczy:</w:t>
      </w:r>
      <w:r w:rsidRPr="00207FB2">
        <w:rPr>
          <w:b/>
          <w:color w:val="auto"/>
          <w:szCs w:val="20"/>
        </w:rPr>
        <w:t xml:space="preserve"> </w:t>
      </w:r>
      <w:r w:rsidRPr="00207FB2">
        <w:rPr>
          <w:b/>
          <w:color w:val="FFFFFF"/>
          <w:szCs w:val="20"/>
        </w:rPr>
        <w:t>.</w:t>
      </w:r>
      <w:r w:rsidRPr="00207FB2">
        <w:rPr>
          <w:rFonts w:eastAsia="MS PGothic"/>
          <w:color w:val="auto"/>
          <w:szCs w:val="20"/>
        </w:rPr>
        <w:t xml:space="preserve"> </w:t>
      </w:r>
      <w:r w:rsidR="00EF68BA" w:rsidRPr="00EB0821">
        <w:rPr>
          <w:szCs w:val="24"/>
        </w:rPr>
        <w:t>postępowania o  udzielenie  zamówienia</w:t>
      </w:r>
      <w:r w:rsidR="00EF68BA" w:rsidRPr="00EB0821">
        <w:rPr>
          <w:bCs/>
          <w:iCs/>
          <w:szCs w:val="24"/>
        </w:rPr>
        <w:t xml:space="preserve"> </w:t>
      </w:r>
      <w:r w:rsidR="00EF68BA" w:rsidRPr="00EB0821">
        <w:rPr>
          <w:szCs w:val="24"/>
        </w:rPr>
        <w:t xml:space="preserve">publicznego w trybie </w:t>
      </w:r>
      <w:r w:rsidR="00EF68BA">
        <w:rPr>
          <w:szCs w:val="24"/>
        </w:rPr>
        <w:t xml:space="preserve">podstawowym </w:t>
      </w:r>
      <w:r w:rsidR="0071294E">
        <w:rPr>
          <w:szCs w:val="24"/>
        </w:rPr>
        <w:t xml:space="preserve">w celu zawarcia umowy ramowej </w:t>
      </w:r>
      <w:r w:rsidR="00EF68BA" w:rsidRPr="00EB0821">
        <w:rPr>
          <w:szCs w:val="24"/>
        </w:rPr>
        <w:t>pn.:</w:t>
      </w:r>
      <w:r w:rsidR="0071294E">
        <w:rPr>
          <w:szCs w:val="24"/>
        </w:rPr>
        <w:t xml:space="preserve"> </w:t>
      </w:r>
      <w:r w:rsidR="0071294E" w:rsidRPr="0071294E">
        <w:rPr>
          <w:b/>
          <w:szCs w:val="24"/>
        </w:rPr>
        <w:t>Dostawa przenośnych oświetlaczy</w:t>
      </w:r>
      <w:r w:rsidR="00EF68BA" w:rsidRPr="0071294E">
        <w:rPr>
          <w:b/>
          <w:szCs w:val="24"/>
        </w:rPr>
        <w:t>,</w:t>
      </w:r>
      <w:r w:rsidR="00EF68BA" w:rsidRPr="005B4853">
        <w:rPr>
          <w:b/>
          <w:szCs w:val="24"/>
        </w:rPr>
        <w:t xml:space="preserve"> </w:t>
      </w:r>
      <w:r w:rsidR="00EF68BA" w:rsidRPr="00EB0821">
        <w:rPr>
          <w:szCs w:val="24"/>
        </w:rPr>
        <w:t>nr ref.:</w:t>
      </w:r>
      <w:r w:rsidR="00210D50" w:rsidRPr="00210D50">
        <w:rPr>
          <w:rFonts w:cs="Arial"/>
          <w:bCs/>
          <w:szCs w:val="24"/>
        </w:rPr>
        <w:t xml:space="preserve"> </w:t>
      </w:r>
      <w:r w:rsidR="00210D50" w:rsidRPr="00210D50">
        <w:rPr>
          <w:rFonts w:cs="Arial"/>
          <w:b/>
          <w:bCs/>
          <w:szCs w:val="24"/>
        </w:rPr>
        <w:t>WZP-</w:t>
      </w:r>
      <w:r w:rsidR="0071294E">
        <w:rPr>
          <w:rFonts w:cs="Arial"/>
          <w:b/>
          <w:bCs/>
          <w:szCs w:val="24"/>
        </w:rPr>
        <w:t>2432/24/17</w:t>
      </w:r>
      <w:r w:rsidR="007437D9">
        <w:rPr>
          <w:rFonts w:cs="Arial"/>
          <w:b/>
          <w:bCs/>
          <w:szCs w:val="24"/>
        </w:rPr>
        <w:t>0/Z</w:t>
      </w:r>
      <w:r w:rsidR="00EF68BA">
        <w:rPr>
          <w:b/>
          <w:szCs w:val="24"/>
        </w:rPr>
        <w:t>.</w:t>
      </w:r>
    </w:p>
    <w:p w:rsidR="0021614D" w:rsidRPr="00207FB2" w:rsidRDefault="0021614D" w:rsidP="00C93878">
      <w:pPr>
        <w:spacing w:after="0" w:line="240" w:lineRule="auto"/>
        <w:ind w:left="993" w:hanging="993"/>
        <w:rPr>
          <w:b/>
          <w:color w:val="auto"/>
          <w:szCs w:val="20"/>
        </w:rPr>
      </w:pPr>
    </w:p>
    <w:p w:rsidR="00830448" w:rsidRPr="00830448" w:rsidRDefault="00C93878" w:rsidP="00830448">
      <w:pPr>
        <w:widowControl w:val="0"/>
        <w:suppressAutoHyphens/>
        <w:autoSpaceDN w:val="0"/>
        <w:spacing w:after="0" w:line="240" w:lineRule="auto"/>
        <w:ind w:left="0" w:firstLine="708"/>
        <w:textAlignment w:val="baseline"/>
        <w:rPr>
          <w:rFonts w:eastAsia="Andale Sans UI"/>
          <w:b/>
          <w:bCs/>
          <w:kern w:val="3"/>
          <w:szCs w:val="20"/>
          <w:lang w:eastAsia="en-US" w:bidi="en-US"/>
        </w:rPr>
      </w:pPr>
      <w:r w:rsidRPr="00207FB2">
        <w:rPr>
          <w:rFonts w:eastAsia="Andale Sans UI"/>
          <w:color w:val="auto"/>
          <w:kern w:val="3"/>
          <w:szCs w:val="20"/>
          <w:lang w:eastAsia="en-US" w:bidi="en-US"/>
        </w:rPr>
        <w:t xml:space="preserve">Wydział Zamówień Publicznych KSP, działając w imieniu Zamawiającego, </w:t>
      </w:r>
      <w:r w:rsidRPr="00207FB2">
        <w:rPr>
          <w:rFonts w:eastAsia="Andale Sans UI"/>
          <w:color w:val="auto"/>
          <w:kern w:val="3"/>
          <w:szCs w:val="20"/>
          <w:lang w:eastAsia="en-US" w:bidi="en-US"/>
        </w:rPr>
        <w:br/>
        <w:t xml:space="preserve">na podstawie </w:t>
      </w:r>
      <w:r w:rsidRPr="00207FB2">
        <w:rPr>
          <w:rFonts w:eastAsia="Andale Sans UI"/>
          <w:kern w:val="3"/>
          <w:szCs w:val="20"/>
          <w:lang w:eastAsia="en-US" w:bidi="en-US"/>
        </w:rPr>
        <w:t xml:space="preserve">art. </w:t>
      </w:r>
      <w:r w:rsidR="006932DA" w:rsidRPr="00207FB2">
        <w:rPr>
          <w:rFonts w:eastAsia="Andale Sans UI"/>
          <w:kern w:val="3"/>
          <w:szCs w:val="20"/>
          <w:lang w:eastAsia="en-US" w:bidi="en-US"/>
        </w:rPr>
        <w:t>284</w:t>
      </w:r>
      <w:r w:rsidR="00041D44" w:rsidRPr="00207FB2">
        <w:rPr>
          <w:rFonts w:eastAsia="Andale Sans UI"/>
          <w:kern w:val="3"/>
          <w:szCs w:val="20"/>
          <w:lang w:eastAsia="en-US" w:bidi="en-US"/>
        </w:rPr>
        <w:t xml:space="preserve"> </w:t>
      </w:r>
      <w:r w:rsidR="00D52E13" w:rsidRPr="00207FB2">
        <w:rPr>
          <w:rFonts w:eastAsia="Andale Sans UI"/>
          <w:kern w:val="3"/>
          <w:szCs w:val="20"/>
          <w:lang w:eastAsia="en-US" w:bidi="en-US"/>
        </w:rPr>
        <w:t>ust. 2</w:t>
      </w:r>
      <w:r w:rsidR="005324A9" w:rsidRPr="00207FB2">
        <w:rPr>
          <w:rFonts w:eastAsia="Andale Sans UI"/>
          <w:kern w:val="3"/>
          <w:szCs w:val="20"/>
          <w:lang w:eastAsia="en-US" w:bidi="en-US"/>
        </w:rPr>
        <w:t xml:space="preserve"> </w:t>
      </w:r>
      <w:r w:rsidR="006932DA" w:rsidRPr="00207FB2">
        <w:rPr>
          <w:rFonts w:eastAsia="Andale Sans UI"/>
          <w:kern w:val="3"/>
          <w:szCs w:val="20"/>
          <w:lang w:eastAsia="en-US" w:bidi="en-US"/>
        </w:rPr>
        <w:t>i 6 oraz 286  ust. 1 i 7</w:t>
      </w:r>
      <w:r w:rsidR="00D9151E" w:rsidRPr="00207FB2">
        <w:rPr>
          <w:rFonts w:eastAsia="Andale Sans UI"/>
          <w:kern w:val="3"/>
          <w:szCs w:val="20"/>
          <w:lang w:eastAsia="en-US" w:bidi="en-US"/>
        </w:rPr>
        <w:t xml:space="preserve"> </w:t>
      </w:r>
      <w:r w:rsidR="000C44A6" w:rsidRPr="00207FB2">
        <w:rPr>
          <w:rFonts w:eastAsia="Andale Sans UI"/>
          <w:kern w:val="3"/>
          <w:szCs w:val="20"/>
          <w:lang w:eastAsia="en-US" w:bidi="en-US"/>
        </w:rPr>
        <w:t>u</w:t>
      </w:r>
      <w:r w:rsidRPr="00207FB2">
        <w:rPr>
          <w:rFonts w:eastAsia="Andale Sans UI"/>
          <w:kern w:val="3"/>
          <w:szCs w:val="20"/>
          <w:lang w:eastAsia="en-US" w:bidi="en-US"/>
        </w:rPr>
        <w:t>stawy</w:t>
      </w:r>
      <w:r w:rsidRPr="00207FB2">
        <w:rPr>
          <w:rFonts w:eastAsia="Andale Sans UI"/>
          <w:color w:val="auto"/>
          <w:kern w:val="3"/>
          <w:szCs w:val="20"/>
          <w:lang w:eastAsia="en-US" w:bidi="en-US"/>
        </w:rPr>
        <w:t xml:space="preserve"> z dnia 11 września 2019 r. Prawo zamówień publicznych </w:t>
      </w:r>
      <w:r w:rsidR="00D9151E" w:rsidRPr="00207FB2">
        <w:rPr>
          <w:szCs w:val="20"/>
        </w:rPr>
        <w:t>(t. j. Dz. U. z 202</w:t>
      </w:r>
      <w:r w:rsidR="007437D9">
        <w:rPr>
          <w:szCs w:val="20"/>
        </w:rPr>
        <w:t>4</w:t>
      </w:r>
      <w:r w:rsidR="00D9151E" w:rsidRPr="00207FB2">
        <w:rPr>
          <w:szCs w:val="20"/>
        </w:rPr>
        <w:t xml:space="preserve"> r. poz. 1</w:t>
      </w:r>
      <w:r w:rsidR="007437D9">
        <w:rPr>
          <w:szCs w:val="20"/>
        </w:rPr>
        <w:t xml:space="preserve">320), </w:t>
      </w:r>
      <w:r w:rsidRPr="00207FB2">
        <w:rPr>
          <w:rFonts w:eastAsia="Andale Sans UI"/>
          <w:kern w:val="3"/>
          <w:szCs w:val="20"/>
          <w:lang w:eastAsia="en-US" w:bidi="en-US"/>
        </w:rPr>
        <w:t xml:space="preserve">uprzejmie informuje </w:t>
      </w:r>
      <w:r w:rsidR="0021614D">
        <w:rPr>
          <w:rFonts w:eastAsia="Andale Sans UI"/>
          <w:kern w:val="3"/>
          <w:szCs w:val="20"/>
          <w:lang w:eastAsia="en-US" w:bidi="en-US"/>
        </w:rPr>
        <w:br/>
      </w:r>
      <w:r w:rsidRPr="00207FB2">
        <w:rPr>
          <w:rFonts w:eastAsia="Andale Sans UI"/>
          <w:kern w:val="3"/>
          <w:szCs w:val="20"/>
          <w:lang w:eastAsia="en-US" w:bidi="en-US"/>
        </w:rPr>
        <w:t xml:space="preserve">o </w:t>
      </w:r>
      <w:r w:rsidR="00041D44" w:rsidRPr="00207FB2">
        <w:rPr>
          <w:rFonts w:eastAsia="Andale Sans UI"/>
          <w:b/>
          <w:bCs/>
          <w:kern w:val="3"/>
          <w:szCs w:val="20"/>
          <w:lang w:eastAsia="en-US" w:bidi="en-US"/>
        </w:rPr>
        <w:t>wniosk</w:t>
      </w:r>
      <w:r w:rsidR="0021614D">
        <w:rPr>
          <w:rFonts w:eastAsia="Andale Sans UI"/>
          <w:b/>
          <w:bCs/>
          <w:kern w:val="3"/>
          <w:szCs w:val="20"/>
          <w:lang w:eastAsia="en-US" w:bidi="en-US"/>
        </w:rPr>
        <w:t>u</w:t>
      </w:r>
      <w:r w:rsidR="00041D44" w:rsidRPr="00207FB2">
        <w:rPr>
          <w:rFonts w:eastAsia="Andale Sans UI"/>
          <w:b/>
          <w:bCs/>
          <w:kern w:val="3"/>
          <w:szCs w:val="20"/>
          <w:lang w:eastAsia="en-US" w:bidi="en-US"/>
        </w:rPr>
        <w:t xml:space="preserve"> o wyjaśnienie treści </w:t>
      </w:r>
      <w:r w:rsidR="006D723F" w:rsidRPr="00207FB2">
        <w:rPr>
          <w:rFonts w:eastAsia="Andale Sans UI"/>
          <w:b/>
          <w:bCs/>
          <w:kern w:val="3"/>
          <w:szCs w:val="20"/>
          <w:lang w:eastAsia="en-US" w:bidi="en-US"/>
        </w:rPr>
        <w:t>Specyfikacji Warunków Zamówienia (</w:t>
      </w:r>
      <w:r w:rsidR="00041D44" w:rsidRPr="00207FB2">
        <w:rPr>
          <w:rFonts w:eastAsia="Andale Sans UI"/>
          <w:b/>
          <w:bCs/>
          <w:kern w:val="3"/>
          <w:szCs w:val="20"/>
          <w:lang w:eastAsia="en-US" w:bidi="en-US"/>
        </w:rPr>
        <w:t>S</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Z</w:t>
      </w:r>
      <w:r w:rsidR="006D723F" w:rsidRPr="00207FB2">
        <w:rPr>
          <w:rFonts w:eastAsia="Andale Sans UI"/>
          <w:b/>
          <w:bCs/>
          <w:kern w:val="3"/>
          <w:szCs w:val="20"/>
          <w:lang w:eastAsia="en-US" w:bidi="en-US"/>
        </w:rPr>
        <w:t>)</w:t>
      </w:r>
      <w:r w:rsidR="00041D44" w:rsidRPr="00207FB2">
        <w:rPr>
          <w:rFonts w:eastAsia="Andale Sans UI"/>
          <w:b/>
          <w:bCs/>
          <w:kern w:val="3"/>
          <w:szCs w:val="20"/>
          <w:lang w:eastAsia="en-US" w:bidi="en-US"/>
        </w:rPr>
        <w:t xml:space="preserve"> i udzi</w:t>
      </w:r>
      <w:r w:rsidR="006D723F" w:rsidRPr="00207FB2">
        <w:rPr>
          <w:rFonts w:eastAsia="Andale Sans UI"/>
          <w:b/>
          <w:bCs/>
          <w:kern w:val="3"/>
          <w:szCs w:val="20"/>
          <w:lang w:eastAsia="en-US" w:bidi="en-US"/>
        </w:rPr>
        <w:t>elonych przez Zamawiającego odp</w:t>
      </w:r>
      <w:r w:rsidR="00041D44" w:rsidRPr="00207FB2">
        <w:rPr>
          <w:rFonts w:eastAsia="Andale Sans UI"/>
          <w:b/>
          <w:bCs/>
          <w:kern w:val="3"/>
          <w:szCs w:val="20"/>
          <w:lang w:eastAsia="en-US" w:bidi="en-US"/>
        </w:rPr>
        <w:t>o</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i</w:t>
      </w:r>
      <w:r w:rsidR="006D723F" w:rsidRPr="00207FB2">
        <w:rPr>
          <w:rFonts w:eastAsia="Andale Sans UI"/>
          <w:b/>
          <w:bCs/>
          <w:kern w:val="3"/>
          <w:szCs w:val="20"/>
          <w:lang w:eastAsia="en-US" w:bidi="en-US"/>
        </w:rPr>
        <w:t>e</w:t>
      </w:r>
      <w:r w:rsidR="00041D44" w:rsidRPr="00207FB2">
        <w:rPr>
          <w:rFonts w:eastAsia="Andale Sans UI"/>
          <w:b/>
          <w:bCs/>
          <w:kern w:val="3"/>
          <w:szCs w:val="20"/>
          <w:lang w:eastAsia="en-US" w:bidi="en-US"/>
        </w:rPr>
        <w:t>dziach</w:t>
      </w:r>
      <w:r w:rsidR="00D9151E" w:rsidRPr="00207FB2">
        <w:rPr>
          <w:rFonts w:eastAsia="Andale Sans UI"/>
          <w:b/>
          <w:bCs/>
          <w:kern w:val="3"/>
          <w:szCs w:val="20"/>
          <w:lang w:eastAsia="en-US" w:bidi="en-US"/>
        </w:rPr>
        <w:t xml:space="preserve"> oraz zmianie SWZ</w:t>
      </w:r>
      <w:r w:rsidR="00041D44" w:rsidRPr="00207FB2">
        <w:rPr>
          <w:rFonts w:eastAsia="Andale Sans UI"/>
          <w:b/>
          <w:bCs/>
          <w:kern w:val="3"/>
          <w:szCs w:val="20"/>
          <w:lang w:eastAsia="en-US" w:bidi="en-US"/>
        </w:rPr>
        <w:t>.</w:t>
      </w:r>
    </w:p>
    <w:p w:rsidR="00D46F1B" w:rsidRPr="00207FB2" w:rsidRDefault="00D46F1B" w:rsidP="00207FB2">
      <w:pPr>
        <w:spacing w:after="120" w:line="240" w:lineRule="auto"/>
        <w:contextualSpacing/>
        <w:rPr>
          <w:szCs w:val="24"/>
        </w:rPr>
      </w:pPr>
    </w:p>
    <w:p w:rsidR="00CA4F07" w:rsidRDefault="00CA4F07" w:rsidP="00A648B6">
      <w:pPr>
        <w:spacing w:after="120" w:line="240" w:lineRule="auto"/>
        <w:ind w:left="0" w:firstLine="0"/>
        <w:contextualSpacing/>
        <w:rPr>
          <w:b/>
          <w:szCs w:val="24"/>
        </w:rPr>
      </w:pPr>
      <w:r w:rsidRPr="00207FB2">
        <w:rPr>
          <w:b/>
          <w:szCs w:val="24"/>
        </w:rPr>
        <w:t xml:space="preserve">Pytanie nr 1: </w:t>
      </w:r>
    </w:p>
    <w:p w:rsidR="00EF68BA" w:rsidRDefault="00EF68BA" w:rsidP="00A648B6">
      <w:pPr>
        <w:spacing w:after="120" w:line="240" w:lineRule="auto"/>
        <w:ind w:left="0" w:firstLine="0"/>
        <w:contextualSpacing/>
        <w:rPr>
          <w:b/>
          <w:szCs w:val="24"/>
        </w:rPr>
      </w:pPr>
    </w:p>
    <w:p w:rsidR="00EC5B7F" w:rsidRPr="00207FB2" w:rsidRDefault="0020581B" w:rsidP="00A648B6">
      <w:pPr>
        <w:spacing w:after="120" w:line="240" w:lineRule="auto"/>
        <w:ind w:left="0" w:firstLine="0"/>
        <w:contextualSpacing/>
        <w:rPr>
          <w:b/>
          <w:szCs w:val="24"/>
        </w:rPr>
      </w:pPr>
      <w:r>
        <w:t>Zamawiający wymaga strumienia świetlnego oświetlacza min. 5000 lm. Oświetlacze o strumieniu świetlnym 5000 lm są konstrukcjami przestarzałymi sprzed kilkunastu lat. Obecnie w służbach – np. straży pożarnej, wojsku – stosowane są oświetlacze o strumieniu świetlnym 10000, 15000 lub 20000 lm. Umożliwiają one oświetlenie znacznie większej powierzchni, zarówno podczas akcji w budynkach, jak i na zewnątrz. Czy w związku z tym Zamawiający wymaga oświetlacza o strumieniu świetlnym min. 10000, 15000 czy 20000 lm?</w:t>
      </w:r>
      <w:r w:rsidR="00EC5B7F">
        <w:t>.</w:t>
      </w:r>
    </w:p>
    <w:p w:rsidR="00210D50" w:rsidRPr="00207FB2" w:rsidRDefault="00210D50" w:rsidP="00210D50">
      <w:pPr>
        <w:spacing w:after="120" w:line="240" w:lineRule="auto"/>
        <w:ind w:left="0" w:firstLine="0"/>
        <w:contextualSpacing/>
        <w:rPr>
          <w:szCs w:val="24"/>
        </w:rPr>
      </w:pPr>
    </w:p>
    <w:p w:rsidR="00CA4F07" w:rsidRDefault="00A648B6" w:rsidP="00A648B6">
      <w:pPr>
        <w:spacing w:after="120" w:line="240" w:lineRule="auto"/>
        <w:ind w:left="0"/>
        <w:contextualSpacing/>
        <w:rPr>
          <w:b/>
          <w:szCs w:val="24"/>
        </w:rPr>
      </w:pPr>
      <w:r>
        <w:rPr>
          <w:szCs w:val="24"/>
        </w:rPr>
        <w:tab/>
      </w:r>
      <w:r w:rsidR="00CA4F07" w:rsidRPr="00207FB2">
        <w:rPr>
          <w:b/>
          <w:szCs w:val="24"/>
        </w:rPr>
        <w:t xml:space="preserve">Odpowiedź na pytanie nr 1: </w:t>
      </w:r>
    </w:p>
    <w:p w:rsidR="00EC5B7F" w:rsidRDefault="00EC5B7F" w:rsidP="00A648B6">
      <w:pPr>
        <w:spacing w:after="120" w:line="240" w:lineRule="auto"/>
        <w:ind w:left="0"/>
        <w:contextualSpacing/>
        <w:rPr>
          <w:b/>
          <w:szCs w:val="24"/>
        </w:rPr>
      </w:pPr>
    </w:p>
    <w:p w:rsidR="00EC5B7F" w:rsidRDefault="0020581B" w:rsidP="00A648B6">
      <w:pPr>
        <w:spacing w:after="120" w:line="240" w:lineRule="auto"/>
        <w:ind w:left="0"/>
        <w:contextualSpacing/>
        <w:rPr>
          <w:szCs w:val="24"/>
        </w:rPr>
      </w:pPr>
      <w:r w:rsidRPr="0020581B">
        <w:rPr>
          <w:szCs w:val="24"/>
        </w:rPr>
        <w:t>Zamawiający w OPZ określił minimalną moc światła na poziomie 5000 lm i taki zapis podtrzymuje</w:t>
      </w:r>
      <w:r w:rsidR="001C4435">
        <w:rPr>
          <w:szCs w:val="24"/>
        </w:rPr>
        <w:t>, a także dopuszcza oświetlacz o większym strumieniu światła.</w:t>
      </w:r>
    </w:p>
    <w:p w:rsidR="0020581B" w:rsidRPr="00207FB2" w:rsidRDefault="0020581B" w:rsidP="00A648B6">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Pr>
          <w:b/>
          <w:szCs w:val="24"/>
        </w:rPr>
        <w:t>2</w:t>
      </w:r>
      <w:r w:rsidRPr="00207FB2">
        <w:rPr>
          <w:b/>
          <w:szCs w:val="24"/>
        </w:rPr>
        <w:t xml:space="preserve">: </w:t>
      </w:r>
    </w:p>
    <w:p w:rsidR="00B44680" w:rsidRDefault="00B44680" w:rsidP="00B44680">
      <w:pPr>
        <w:spacing w:after="120" w:line="240" w:lineRule="auto"/>
        <w:ind w:left="0" w:firstLine="0"/>
        <w:contextualSpacing/>
        <w:rPr>
          <w:szCs w:val="24"/>
        </w:rPr>
      </w:pPr>
    </w:p>
    <w:p w:rsidR="007437D9" w:rsidRDefault="0020581B" w:rsidP="007437D9">
      <w:pPr>
        <w:spacing w:after="120" w:line="240" w:lineRule="auto"/>
        <w:ind w:left="0" w:firstLine="0"/>
        <w:contextualSpacing/>
      </w:pPr>
      <w:r>
        <w:t>Zamawiający wymaga klasy szczelności oświetlacza IP54. Oświetlacze o klasie szczelności IP54 nadają się do zastosowań hobbystycznych i nieprofesjonalnych (druga cyfra odpowiada za odporność na wnikanie wody). Oświetlacze do zastosowań profesjonalnych powinny posiadać klasę szczelności co najmniej IP55 . W praktyce w służbach stosowane są oświetlacze o klasie szczelności IP65 i wyższej. Czy w związku z tym Zamawiający wymaga stopnia szczelności oświetlacza min. IP55 czy IP65?</w:t>
      </w:r>
    </w:p>
    <w:p w:rsidR="0020581B" w:rsidRPr="00207FB2" w:rsidRDefault="0020581B" w:rsidP="007437D9">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B44680">
        <w:rPr>
          <w:b/>
          <w:szCs w:val="24"/>
        </w:rPr>
        <w:t>2</w:t>
      </w:r>
      <w:r w:rsidRPr="00207FB2">
        <w:rPr>
          <w:b/>
          <w:szCs w:val="24"/>
        </w:rPr>
        <w:t xml:space="preserve">: </w:t>
      </w:r>
    </w:p>
    <w:p w:rsidR="00B44680" w:rsidRDefault="00B44680" w:rsidP="007437D9">
      <w:pPr>
        <w:spacing w:after="120" w:line="240" w:lineRule="auto"/>
        <w:ind w:left="0"/>
        <w:contextualSpacing/>
        <w:rPr>
          <w:b/>
          <w:szCs w:val="24"/>
        </w:rPr>
      </w:pPr>
    </w:p>
    <w:p w:rsidR="0020581B" w:rsidRPr="0020581B" w:rsidRDefault="0020581B" w:rsidP="0020581B">
      <w:pPr>
        <w:spacing w:after="120" w:line="240" w:lineRule="auto"/>
        <w:ind w:left="0"/>
        <w:contextualSpacing/>
        <w:rPr>
          <w:szCs w:val="24"/>
        </w:rPr>
      </w:pPr>
      <w:r w:rsidRPr="0020581B">
        <w:rPr>
          <w:szCs w:val="24"/>
        </w:rPr>
        <w:t>Zamawiający w OPZ określił minimalną klasę szczelności na poziomie IP54 i taki zapis podtrzymu</w:t>
      </w:r>
      <w:r w:rsidR="001C4435">
        <w:rPr>
          <w:szCs w:val="24"/>
        </w:rPr>
        <w:t>je, a także dopuszcza wyższy stopień szczelności.</w:t>
      </w:r>
      <w:bookmarkStart w:id="0" w:name="_GoBack"/>
      <w:bookmarkEnd w:id="0"/>
    </w:p>
    <w:p w:rsidR="00830448" w:rsidRPr="00830448" w:rsidRDefault="00830448" w:rsidP="00830448">
      <w:pPr>
        <w:spacing w:after="120" w:line="240" w:lineRule="auto"/>
        <w:ind w:left="0"/>
        <w:contextualSpacing/>
        <w:rPr>
          <w:szCs w:val="24"/>
        </w:rPr>
      </w:pPr>
    </w:p>
    <w:p w:rsidR="007437D9" w:rsidRDefault="007437D9" w:rsidP="007437D9">
      <w:pPr>
        <w:spacing w:after="120" w:line="240" w:lineRule="auto"/>
        <w:ind w:left="0" w:firstLine="0"/>
        <w:contextualSpacing/>
        <w:rPr>
          <w:b/>
          <w:szCs w:val="24"/>
        </w:rPr>
      </w:pPr>
      <w:r w:rsidRPr="00207FB2">
        <w:rPr>
          <w:b/>
          <w:szCs w:val="24"/>
        </w:rPr>
        <w:lastRenderedPageBreak/>
        <w:t xml:space="preserve">Pytanie nr </w:t>
      </w:r>
      <w:r w:rsidR="004D738B">
        <w:rPr>
          <w:b/>
          <w:szCs w:val="24"/>
        </w:rPr>
        <w:t>3</w:t>
      </w:r>
      <w:r w:rsidRPr="00207FB2">
        <w:rPr>
          <w:b/>
          <w:szCs w:val="24"/>
        </w:rPr>
        <w:t xml:space="preserve">: </w:t>
      </w:r>
    </w:p>
    <w:p w:rsidR="007437D9" w:rsidRPr="00207FB2" w:rsidRDefault="007437D9" w:rsidP="007437D9">
      <w:pPr>
        <w:spacing w:after="120" w:line="240" w:lineRule="auto"/>
        <w:ind w:left="0" w:firstLine="0"/>
        <w:contextualSpacing/>
        <w:rPr>
          <w:b/>
          <w:szCs w:val="24"/>
        </w:rPr>
      </w:pPr>
    </w:p>
    <w:p w:rsidR="006C0FD7" w:rsidRDefault="0020581B" w:rsidP="006C0FD7">
      <w:pPr>
        <w:spacing w:after="120" w:line="240" w:lineRule="auto"/>
        <w:ind w:left="0" w:firstLine="0"/>
        <w:contextualSpacing/>
      </w:pPr>
      <w:r>
        <w:t xml:space="preserve">Zamawiający nie określił wymaganego typu akumulatora w oświetlaczu. W celu zapewnienia bezawaryjności, zabezpieczenia przed głębokim rozładowaniem akumulatora oraz znacznego obniżenia wagi oświetlacza – nawet o połowę – od wielu lat w oświetlaczach oraz narzędziach bezprzewodowych stosowane są wyłącznie akumulatory </w:t>
      </w:r>
      <w:proofErr w:type="spellStart"/>
      <w:r>
        <w:t>litowo</w:t>
      </w:r>
      <w:proofErr w:type="spellEnd"/>
      <w:r>
        <w:t xml:space="preserve">-jonowe. Są to akumulatory bezobsługowe. Czy w związku z powyższym Zamawiający wymaga zastosowania akumulatora </w:t>
      </w:r>
      <w:proofErr w:type="spellStart"/>
      <w:r>
        <w:t>litowo</w:t>
      </w:r>
      <w:proofErr w:type="spellEnd"/>
      <w:r>
        <w:t>-jonowego?</w:t>
      </w:r>
    </w:p>
    <w:p w:rsidR="0020581B" w:rsidRPr="00207FB2" w:rsidRDefault="0020581B" w:rsidP="006C0FD7">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4D738B">
        <w:rPr>
          <w:b/>
          <w:szCs w:val="24"/>
        </w:rPr>
        <w:t>3</w:t>
      </w:r>
      <w:r w:rsidRPr="00207FB2">
        <w:rPr>
          <w:b/>
          <w:szCs w:val="24"/>
        </w:rPr>
        <w:t xml:space="preserve">: </w:t>
      </w:r>
    </w:p>
    <w:p w:rsidR="006C0FD7" w:rsidRDefault="006C0FD7" w:rsidP="007437D9">
      <w:pPr>
        <w:spacing w:after="120" w:line="240" w:lineRule="auto"/>
        <w:ind w:left="0"/>
        <w:contextualSpacing/>
        <w:rPr>
          <w:b/>
          <w:szCs w:val="24"/>
        </w:rPr>
      </w:pPr>
    </w:p>
    <w:p w:rsidR="0020581B" w:rsidRPr="0020581B" w:rsidRDefault="0020581B" w:rsidP="0020581B">
      <w:pPr>
        <w:spacing w:after="120" w:line="240" w:lineRule="auto"/>
        <w:ind w:left="0"/>
        <w:contextualSpacing/>
        <w:rPr>
          <w:szCs w:val="24"/>
        </w:rPr>
      </w:pPr>
      <w:r w:rsidRPr="0020581B">
        <w:rPr>
          <w:szCs w:val="24"/>
        </w:rPr>
        <w:t xml:space="preserve">Zamawiający nie określił typu akumulatora ponieważ dopuszcza akumulatory </w:t>
      </w:r>
      <w:proofErr w:type="spellStart"/>
      <w:r w:rsidRPr="0020581B">
        <w:rPr>
          <w:szCs w:val="24"/>
        </w:rPr>
        <w:t>litowo</w:t>
      </w:r>
      <w:proofErr w:type="spellEnd"/>
      <w:r w:rsidRPr="0020581B">
        <w:rPr>
          <w:szCs w:val="24"/>
        </w:rPr>
        <w:t>-jonowe jak i inne np. żelowe.</w:t>
      </w:r>
    </w:p>
    <w:p w:rsidR="0027652F" w:rsidRPr="00207FB2" w:rsidRDefault="0027652F" w:rsidP="007437D9">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sidR="004D738B">
        <w:rPr>
          <w:b/>
          <w:szCs w:val="24"/>
        </w:rPr>
        <w:t>4</w:t>
      </w:r>
      <w:r w:rsidRPr="00207FB2">
        <w:rPr>
          <w:b/>
          <w:szCs w:val="24"/>
        </w:rPr>
        <w:t xml:space="preserve">: </w:t>
      </w:r>
    </w:p>
    <w:p w:rsidR="007437D9" w:rsidRPr="00207FB2" w:rsidRDefault="007437D9" w:rsidP="007437D9">
      <w:pPr>
        <w:spacing w:after="120" w:line="240" w:lineRule="auto"/>
        <w:ind w:left="0" w:firstLine="0"/>
        <w:contextualSpacing/>
        <w:rPr>
          <w:b/>
          <w:szCs w:val="24"/>
        </w:rPr>
      </w:pPr>
    </w:p>
    <w:p w:rsidR="0009320D" w:rsidRDefault="0020581B" w:rsidP="0009320D">
      <w:pPr>
        <w:spacing w:after="120" w:line="240" w:lineRule="auto"/>
        <w:ind w:left="0" w:firstLine="0"/>
        <w:contextualSpacing/>
      </w:pPr>
      <w:r>
        <w:t>Zamawiający nie określił wysokości zintegrowanego masztu, na którym zamontowana jest głowica oświetlacza. Obecnie w oświetlaczach wykorzystywanych szeroko w służbach i ratownictwie stosowane są maszty o wysokości 120, a nawet 140 cm. Pozwala to na oświetlanie większych powierzchni pod odpowiednim kątem. Czy Zamawiający wymaga zintegrowanego masztu o wysokości minimum 120 czy 140 cm?</w:t>
      </w:r>
    </w:p>
    <w:p w:rsidR="0020581B" w:rsidRPr="00207FB2" w:rsidRDefault="0020581B" w:rsidP="0009320D">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4D738B">
        <w:rPr>
          <w:b/>
          <w:szCs w:val="24"/>
        </w:rPr>
        <w:t>4</w:t>
      </w:r>
      <w:r w:rsidRPr="00207FB2">
        <w:rPr>
          <w:b/>
          <w:szCs w:val="24"/>
        </w:rPr>
        <w:t xml:space="preserve">: </w:t>
      </w:r>
    </w:p>
    <w:p w:rsidR="0009320D" w:rsidRDefault="0009320D" w:rsidP="007437D9">
      <w:pPr>
        <w:spacing w:after="120" w:line="240" w:lineRule="auto"/>
        <w:ind w:left="0"/>
        <w:contextualSpacing/>
        <w:rPr>
          <w:b/>
          <w:szCs w:val="24"/>
        </w:rPr>
      </w:pPr>
    </w:p>
    <w:p w:rsidR="0020581B" w:rsidRDefault="0020581B" w:rsidP="0020581B">
      <w:pPr>
        <w:spacing w:after="120" w:line="240" w:lineRule="auto"/>
        <w:ind w:left="0"/>
        <w:contextualSpacing/>
        <w:rPr>
          <w:b/>
          <w:szCs w:val="24"/>
        </w:rPr>
      </w:pPr>
      <w:r>
        <w:t>Zamawiający wymaga, aby wysokość całego urządzenia po rozłożeniu wynosiła min. 180 cm (maszt regulowany z podstawą).</w:t>
      </w:r>
    </w:p>
    <w:p w:rsidR="0009320D" w:rsidRPr="00207FB2" w:rsidRDefault="0009320D" w:rsidP="007437D9">
      <w:pPr>
        <w:spacing w:after="120" w:line="240" w:lineRule="auto"/>
        <w:ind w:left="0"/>
        <w:contextualSpacing/>
        <w:rPr>
          <w:b/>
          <w:szCs w:val="24"/>
        </w:rPr>
      </w:pPr>
    </w:p>
    <w:p w:rsidR="0021614D" w:rsidRDefault="0021614D" w:rsidP="00210D50">
      <w:pPr>
        <w:pStyle w:val="Standard"/>
        <w:jc w:val="both"/>
        <w:rPr>
          <w:rFonts w:cs="Times New Roman"/>
          <w:b/>
          <w:bCs/>
          <w:color w:val="000000"/>
        </w:rPr>
      </w:pPr>
    </w:p>
    <w:p w:rsidR="00DD451C" w:rsidRPr="00DD451C" w:rsidRDefault="00210D50" w:rsidP="00210D50">
      <w:pPr>
        <w:pStyle w:val="Standard"/>
        <w:jc w:val="both"/>
        <w:rPr>
          <w:rFonts w:cs="Times New Roman"/>
          <w:bCs/>
          <w:color w:val="000000"/>
        </w:rPr>
      </w:pPr>
      <w:r>
        <w:rPr>
          <w:rFonts w:cs="Times New Roman"/>
          <w:b/>
          <w:bCs/>
          <w:color w:val="000000"/>
        </w:rPr>
        <w:t xml:space="preserve">Z uwagi na powyższe zmianie ulega </w:t>
      </w:r>
      <w:r w:rsidR="00DD451C" w:rsidRPr="00DD451C">
        <w:rPr>
          <w:rFonts w:cs="Times New Roman"/>
          <w:b/>
          <w:bCs/>
          <w:color w:val="000000"/>
        </w:rPr>
        <w:t>SWZ</w:t>
      </w:r>
      <w:r w:rsidR="00DD451C" w:rsidRPr="00DD451C">
        <w:rPr>
          <w:rFonts w:cs="Times New Roman"/>
          <w:bCs/>
          <w:color w:val="000000"/>
        </w:rPr>
        <w:t xml:space="preserve"> </w:t>
      </w:r>
      <w:r>
        <w:rPr>
          <w:rFonts w:cs="Times New Roman"/>
          <w:bCs/>
          <w:color w:val="000000"/>
        </w:rPr>
        <w:t xml:space="preserve">przedmiotowego postępowania </w:t>
      </w:r>
      <w:r w:rsidR="00DD451C" w:rsidRPr="00DD451C">
        <w:rPr>
          <w:rFonts w:cs="Times New Roman"/>
          <w:bCs/>
          <w:color w:val="000000"/>
        </w:rPr>
        <w:t xml:space="preserve">w zakresie: </w:t>
      </w:r>
    </w:p>
    <w:p w:rsidR="00DD451C" w:rsidRDefault="00DD451C"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EE4F73" w:rsidRDefault="0020581B"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r>
        <w:rPr>
          <w:rFonts w:eastAsia="Andale Sans UI"/>
          <w:bCs/>
          <w:kern w:val="3"/>
          <w:szCs w:val="24"/>
          <w:lang w:eastAsia="en-US" w:bidi="en-US"/>
        </w:rPr>
        <w:t>1</w:t>
      </w:r>
      <w:r w:rsidR="00EE4F73" w:rsidRPr="00DE2C78">
        <w:rPr>
          <w:rFonts w:eastAsia="Andale Sans UI"/>
          <w:bCs/>
          <w:kern w:val="3"/>
          <w:szCs w:val="24"/>
          <w:lang w:eastAsia="en-US" w:bidi="en-US"/>
        </w:rPr>
        <w:t>)</w:t>
      </w:r>
      <w:r w:rsidR="00EE4F73">
        <w:rPr>
          <w:rFonts w:eastAsia="Andale Sans UI"/>
          <w:b/>
          <w:bCs/>
          <w:kern w:val="3"/>
          <w:szCs w:val="24"/>
          <w:lang w:eastAsia="en-US" w:bidi="en-US"/>
        </w:rPr>
        <w:t xml:space="preserve"> </w:t>
      </w:r>
      <w:r w:rsidR="00EE4F73" w:rsidRPr="00EE4F73">
        <w:rPr>
          <w:rFonts w:eastAsia="Andale Sans UI"/>
          <w:bCs/>
          <w:kern w:val="3"/>
          <w:szCs w:val="24"/>
          <w:lang w:eastAsia="en-US" w:bidi="en-US"/>
        </w:rPr>
        <w:t>Załącznik nr 3 do SWZ</w:t>
      </w:r>
      <w:r w:rsidR="00EE4F73">
        <w:rPr>
          <w:rFonts w:eastAsia="Andale Sans UI"/>
          <w:b/>
          <w:bCs/>
          <w:kern w:val="3"/>
          <w:szCs w:val="24"/>
          <w:lang w:eastAsia="en-US" w:bidi="en-US"/>
        </w:rPr>
        <w:t xml:space="preserve"> „Opis przedmiotu zamówienia” </w:t>
      </w:r>
      <w:r w:rsidR="00EE4F73" w:rsidRPr="00EE4F73">
        <w:rPr>
          <w:rFonts w:eastAsia="Andale Sans UI"/>
          <w:bCs/>
          <w:kern w:val="3"/>
          <w:szCs w:val="24"/>
          <w:lang w:eastAsia="en-US" w:bidi="en-US"/>
        </w:rPr>
        <w:t>otrzymuje brzmienie jak załączniku do niniejszego pisma.</w:t>
      </w:r>
      <w:r w:rsidR="00EE4F73">
        <w:rPr>
          <w:rFonts w:eastAsia="Andale Sans UI"/>
          <w:b/>
          <w:bCs/>
          <w:kern w:val="3"/>
          <w:szCs w:val="24"/>
          <w:lang w:eastAsia="en-US" w:bidi="en-US"/>
        </w:rPr>
        <w:t xml:space="preserve"> </w:t>
      </w:r>
    </w:p>
    <w:p w:rsidR="00EE4F73" w:rsidRPr="00207FB2" w:rsidRDefault="00EE4F73"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D46F1B" w:rsidRDefault="006932DA" w:rsidP="00A648B6">
      <w:pPr>
        <w:spacing w:after="120" w:line="240" w:lineRule="auto"/>
        <w:ind w:left="0" w:firstLine="0"/>
        <w:contextualSpacing/>
        <w:rPr>
          <w:b/>
          <w:szCs w:val="24"/>
        </w:rPr>
      </w:pPr>
      <w:r w:rsidRPr="00207FB2">
        <w:rPr>
          <w:b/>
          <w:szCs w:val="24"/>
        </w:rPr>
        <w:t xml:space="preserve">Odpowiedzi na pytania do treści SWZ oraz zmiana SWZ są wiążące dla stron i muszą być uwzględnione w składanych ofertach. </w:t>
      </w:r>
    </w:p>
    <w:p w:rsidR="004679A2" w:rsidRDefault="004679A2">
      <w:pPr>
        <w:spacing w:after="160" w:line="259" w:lineRule="auto"/>
        <w:ind w:left="0" w:firstLine="0"/>
        <w:jc w:val="left"/>
        <w:rPr>
          <w:b/>
          <w:szCs w:val="24"/>
        </w:rPr>
      </w:pPr>
    </w:p>
    <w:p w:rsidR="004679A2" w:rsidRDefault="004679A2">
      <w:pPr>
        <w:spacing w:after="160" w:line="259" w:lineRule="auto"/>
        <w:ind w:left="0" w:firstLine="0"/>
        <w:jc w:val="left"/>
        <w:rPr>
          <w:b/>
          <w:szCs w:val="24"/>
        </w:rPr>
      </w:pPr>
    </w:p>
    <w:p w:rsidR="004679A2" w:rsidRPr="004679A2" w:rsidRDefault="004679A2" w:rsidP="004679A2">
      <w:pPr>
        <w:spacing w:after="160" w:line="256" w:lineRule="auto"/>
        <w:ind w:left="0" w:firstLine="0"/>
        <w:jc w:val="right"/>
        <w:rPr>
          <w:b/>
          <w:szCs w:val="24"/>
        </w:rPr>
      </w:pPr>
      <w:r>
        <w:rPr>
          <w:b/>
          <w:szCs w:val="24"/>
        </w:rPr>
        <w:tab/>
      </w:r>
      <w:r w:rsidRPr="004679A2">
        <w:rPr>
          <w:b/>
          <w:szCs w:val="24"/>
        </w:rPr>
        <w:t xml:space="preserve">Podpis na oryginale: </w:t>
      </w:r>
    </w:p>
    <w:p w:rsidR="004679A2" w:rsidRDefault="004679A2" w:rsidP="004679A2">
      <w:pPr>
        <w:tabs>
          <w:tab w:val="left" w:pos="6795"/>
        </w:tabs>
        <w:spacing w:after="160" w:line="259" w:lineRule="auto"/>
        <w:ind w:left="0" w:firstLine="0"/>
        <w:jc w:val="left"/>
        <w:rPr>
          <w:b/>
          <w:szCs w:val="24"/>
        </w:rPr>
      </w:pPr>
      <w:r>
        <w:rPr>
          <w:b/>
          <w:szCs w:val="24"/>
        </w:rPr>
        <w:t xml:space="preserve">                                                                                                                     </w:t>
      </w:r>
      <w:r w:rsidRPr="004679A2">
        <w:rPr>
          <w:b/>
          <w:szCs w:val="24"/>
        </w:rPr>
        <w:t xml:space="preserve">\-\ </w:t>
      </w:r>
      <w:r w:rsidR="00B22A07">
        <w:rPr>
          <w:b/>
          <w:szCs w:val="24"/>
        </w:rPr>
        <w:t>Marta Gawracz</w:t>
      </w:r>
    </w:p>
    <w:p w:rsidR="004679A2" w:rsidRDefault="004679A2">
      <w:pPr>
        <w:spacing w:after="160" w:line="259" w:lineRule="auto"/>
        <w:ind w:left="0" w:firstLine="0"/>
        <w:jc w:val="left"/>
        <w:rPr>
          <w:b/>
          <w:szCs w:val="24"/>
        </w:rPr>
      </w:pPr>
    </w:p>
    <w:p w:rsidR="004679A2" w:rsidRDefault="004679A2">
      <w:pPr>
        <w:spacing w:after="160" w:line="259" w:lineRule="auto"/>
        <w:ind w:left="0" w:firstLine="0"/>
        <w:jc w:val="left"/>
        <w:rPr>
          <w:b/>
          <w:szCs w:val="24"/>
        </w:rPr>
      </w:pPr>
    </w:p>
    <w:p w:rsidR="004679A2" w:rsidRDefault="004679A2">
      <w:pPr>
        <w:spacing w:after="160" w:line="259" w:lineRule="auto"/>
        <w:ind w:left="0" w:firstLine="0"/>
        <w:jc w:val="left"/>
        <w:rPr>
          <w:b/>
          <w:szCs w:val="24"/>
        </w:rPr>
      </w:pPr>
    </w:p>
    <w:p w:rsidR="004679A2" w:rsidRDefault="004679A2">
      <w:pPr>
        <w:spacing w:after="160" w:line="259" w:lineRule="auto"/>
        <w:ind w:left="0" w:firstLine="0"/>
        <w:jc w:val="left"/>
        <w:rPr>
          <w:b/>
          <w:szCs w:val="24"/>
        </w:rPr>
      </w:pPr>
    </w:p>
    <w:p w:rsidR="004679A2" w:rsidRDefault="004679A2">
      <w:pPr>
        <w:spacing w:after="160" w:line="259" w:lineRule="auto"/>
        <w:ind w:left="0" w:firstLine="0"/>
        <w:jc w:val="left"/>
        <w:rPr>
          <w:b/>
          <w:szCs w:val="24"/>
        </w:rPr>
      </w:pPr>
    </w:p>
    <w:p w:rsidR="004679A2" w:rsidRDefault="004679A2">
      <w:pPr>
        <w:spacing w:after="160" w:line="259" w:lineRule="auto"/>
        <w:ind w:left="0" w:firstLine="0"/>
        <w:jc w:val="left"/>
        <w:rPr>
          <w:b/>
          <w:szCs w:val="24"/>
        </w:rPr>
      </w:pPr>
    </w:p>
    <w:p w:rsidR="00D46F1B" w:rsidRDefault="00D46F1B" w:rsidP="00D46F1B">
      <w:pPr>
        <w:pStyle w:val="Textbody"/>
        <w:jc w:val="right"/>
        <w:rPr>
          <w:b/>
        </w:rPr>
      </w:pPr>
      <w:r w:rsidRPr="007F5BD4">
        <w:rPr>
          <w:b/>
        </w:rPr>
        <w:t>Załącznik nr 3 do SWZ</w:t>
      </w:r>
    </w:p>
    <w:p w:rsidR="00D46F1B" w:rsidRPr="006B6AB5" w:rsidRDefault="00D46F1B" w:rsidP="00D46F1B">
      <w:pPr>
        <w:pStyle w:val="Textbody"/>
        <w:jc w:val="right"/>
        <w:rPr>
          <w:b/>
        </w:rPr>
      </w:pPr>
      <w:r w:rsidRPr="006B6AB5">
        <w:rPr>
          <w:b/>
        </w:rPr>
        <w:t xml:space="preserve">(Załącznik nr 1 do umowy ramowej) </w:t>
      </w:r>
    </w:p>
    <w:p w:rsidR="00D46F1B" w:rsidRDefault="00D46F1B" w:rsidP="00D46F1B">
      <w:pPr>
        <w:pStyle w:val="Textbody"/>
      </w:pPr>
    </w:p>
    <w:p w:rsidR="00D46F1B" w:rsidRPr="002A0164" w:rsidRDefault="00D46F1B" w:rsidP="00D46F1B">
      <w:pPr>
        <w:spacing w:after="160" w:line="256" w:lineRule="auto"/>
        <w:jc w:val="center"/>
        <w:rPr>
          <w:rFonts w:eastAsia="Calibri"/>
          <w:b/>
          <w:color w:val="auto"/>
          <w:lang w:eastAsia="en-US"/>
        </w:rPr>
      </w:pPr>
      <w:r w:rsidRPr="002A0164">
        <w:rPr>
          <w:rFonts w:eastAsia="Calibri"/>
          <w:b/>
          <w:color w:val="auto"/>
          <w:lang w:eastAsia="en-US"/>
        </w:rPr>
        <w:t>Opis przedmiotu zamówienia</w:t>
      </w:r>
    </w:p>
    <w:p w:rsidR="00D46F1B" w:rsidRPr="002A0164" w:rsidRDefault="00D46F1B" w:rsidP="00D46F1B">
      <w:pPr>
        <w:rPr>
          <w:rFonts w:eastAsia="Calibri"/>
          <w:color w:val="auto"/>
          <w:lang w:eastAsia="en-US"/>
        </w:rPr>
      </w:pPr>
    </w:p>
    <w:p w:rsidR="00D46F1B" w:rsidRPr="002A0164" w:rsidRDefault="00D46F1B" w:rsidP="00D46F1B">
      <w:pPr>
        <w:rPr>
          <w:rFonts w:eastAsia="Calibri"/>
          <w:color w:val="auto"/>
          <w:lang w:eastAsia="en-US"/>
        </w:rPr>
      </w:pPr>
      <w:r w:rsidRPr="002A0164">
        <w:rPr>
          <w:rFonts w:eastAsia="Calibri"/>
          <w:b/>
          <w:color w:val="auto"/>
          <w:lang w:eastAsia="en-US"/>
        </w:rPr>
        <w:t>Przedmiotem zamówienia jest zakup przenośnego oświetlacza</w:t>
      </w:r>
      <w:r w:rsidRPr="002A0164">
        <w:rPr>
          <w:rFonts w:eastAsia="Calibri"/>
          <w:color w:val="auto"/>
          <w:lang w:eastAsia="en-US"/>
        </w:rPr>
        <w:t xml:space="preserve"> o podanych parametrach:</w:t>
      </w:r>
    </w:p>
    <w:p w:rsidR="00D46F1B" w:rsidRPr="00B54581" w:rsidRDefault="001E0152" w:rsidP="00D46F1B">
      <w:pPr>
        <w:numPr>
          <w:ilvl w:val="0"/>
          <w:numId w:val="8"/>
        </w:numPr>
        <w:spacing w:after="0" w:line="240" w:lineRule="auto"/>
        <w:rPr>
          <w:rFonts w:eastAsia="Calibri"/>
          <w:color w:val="00B0F0"/>
          <w:lang w:eastAsia="en-US"/>
        </w:rPr>
      </w:pPr>
      <w:r>
        <w:rPr>
          <w:rFonts w:eastAsia="Calibri"/>
          <w:color w:val="00B0F0"/>
          <w:lang w:eastAsia="en-US"/>
        </w:rPr>
        <w:t xml:space="preserve">Źródło </w:t>
      </w:r>
      <w:r w:rsidR="00D46F1B" w:rsidRPr="00B54581">
        <w:rPr>
          <w:rFonts w:eastAsia="Calibri"/>
          <w:color w:val="00B0F0"/>
          <w:lang w:eastAsia="en-US"/>
        </w:rPr>
        <w:t>światła: diod</w:t>
      </w:r>
      <w:r w:rsidR="00B54581" w:rsidRPr="00B54581">
        <w:rPr>
          <w:rFonts w:eastAsia="Calibri"/>
          <w:color w:val="00B0F0"/>
          <w:lang w:eastAsia="en-US"/>
        </w:rPr>
        <w:t>y</w:t>
      </w:r>
      <w:r w:rsidR="00D46F1B" w:rsidRPr="00B54581">
        <w:rPr>
          <w:rFonts w:eastAsia="Calibri"/>
          <w:color w:val="00B0F0"/>
          <w:lang w:eastAsia="en-US"/>
        </w:rPr>
        <w:t xml:space="preserve"> LED,</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Moc światła w trybie max, minimum 5000 lm,</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Diody zamontowane w jednej głowicy oświetleniowej w kącie obrotu minimum 300</w:t>
      </w:r>
      <w:r w:rsidRPr="002A0164">
        <w:rPr>
          <w:rFonts w:eastAsia="Calibri"/>
          <w:color w:val="auto"/>
          <w:vertAlign w:val="superscript"/>
          <w:lang w:eastAsia="en-US"/>
        </w:rPr>
        <w:t>o</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Minimum 3 tryby świecenia (najniższy tryb świecenia musi emitować światło o mocy nie mniejszej niż 1000 lm)</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Zasilanie z własnego akumulatora umożliwiającego minimum 3 h pracy w trybie max,</w:t>
      </w:r>
    </w:p>
    <w:p w:rsidR="00D46F1B" w:rsidRPr="00B54581" w:rsidRDefault="00D46F1B" w:rsidP="00D46F1B">
      <w:pPr>
        <w:numPr>
          <w:ilvl w:val="0"/>
          <w:numId w:val="8"/>
        </w:numPr>
        <w:spacing w:after="0" w:line="240" w:lineRule="auto"/>
        <w:rPr>
          <w:rFonts w:eastAsia="Calibri"/>
          <w:color w:val="00B0F0"/>
          <w:lang w:eastAsia="en-US"/>
        </w:rPr>
      </w:pPr>
      <w:r w:rsidRPr="00B54581">
        <w:rPr>
          <w:rFonts w:eastAsia="Calibri"/>
          <w:color w:val="00B0F0"/>
          <w:lang w:eastAsia="en-US"/>
        </w:rPr>
        <w:t>Czas ładowania akumulatora max</w:t>
      </w:r>
      <w:r w:rsidR="00B54581" w:rsidRPr="00B54581">
        <w:rPr>
          <w:rFonts w:eastAsia="Calibri"/>
          <w:color w:val="00B0F0"/>
          <w:lang w:eastAsia="en-US"/>
        </w:rPr>
        <w:t xml:space="preserve"> 10</w:t>
      </w:r>
      <w:r w:rsidRPr="00B54581">
        <w:rPr>
          <w:rFonts w:eastAsia="Calibri"/>
          <w:color w:val="00B0F0"/>
          <w:lang w:eastAsia="en-US"/>
        </w:rPr>
        <w:t xml:space="preserve"> h,</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Akumulator powinien być zabudowany w oświetlaczu lub stanowić jego integralną część np. być podstawą masztu,</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Oświetlacz musi być wyposażony w uchwyt do przenoszenia (nie dopuszcza się rozwiązań typu torba czy pokrowiec),</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Oświetlacz podczas transportu musi stanowić całość (nie dopuszcza się urządzeń, które po rozłożeniu transportowane są w kilku częściach),</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Waga maksymalna 16 kg,</w:t>
      </w:r>
    </w:p>
    <w:p w:rsidR="00D46F1B"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Oświetlacz musi być przystosowany do pracy w trudnych warunkach atmosferycznych (ochrona IP na poziomie min. 54).</w:t>
      </w:r>
    </w:p>
    <w:p w:rsidR="0020581B" w:rsidRPr="0020581B" w:rsidRDefault="0020581B" w:rsidP="00D46F1B">
      <w:pPr>
        <w:numPr>
          <w:ilvl w:val="0"/>
          <w:numId w:val="8"/>
        </w:numPr>
        <w:spacing w:after="0" w:line="240" w:lineRule="auto"/>
        <w:rPr>
          <w:rFonts w:eastAsia="Calibri"/>
          <w:color w:val="00B0F0"/>
          <w:lang w:eastAsia="en-US"/>
        </w:rPr>
      </w:pPr>
      <w:r w:rsidRPr="0020581B">
        <w:rPr>
          <w:rFonts w:eastAsia="Calibri"/>
          <w:color w:val="00B0F0"/>
          <w:lang w:eastAsia="en-US"/>
        </w:rPr>
        <w:t>Wysokość całego urządzenia po rozłożeniu (maszt regulowany z podstawą) – min. 180 cm.</w:t>
      </w:r>
    </w:p>
    <w:p w:rsidR="00D46F1B" w:rsidRPr="00FB0AFB" w:rsidRDefault="00D46F1B" w:rsidP="00D46F1B">
      <w:pPr>
        <w:pStyle w:val="Akapitzlist"/>
        <w:jc w:val="center"/>
        <w:rPr>
          <w:sz w:val="24"/>
          <w:szCs w:val="24"/>
        </w:rPr>
      </w:pPr>
    </w:p>
    <w:p w:rsidR="00D24DB1" w:rsidRPr="00207FB2" w:rsidRDefault="00D24DB1" w:rsidP="00A648B6">
      <w:pPr>
        <w:spacing w:after="120" w:line="240" w:lineRule="auto"/>
        <w:ind w:left="0" w:firstLine="0"/>
        <w:contextualSpacing/>
        <w:rPr>
          <w:b/>
          <w:szCs w:val="24"/>
        </w:rPr>
      </w:pPr>
    </w:p>
    <w:sectPr w:rsidR="00D24DB1" w:rsidRPr="00207FB2"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C3" w:rsidRDefault="00790AC3" w:rsidP="00FB35C9">
      <w:pPr>
        <w:spacing w:after="0" w:line="240" w:lineRule="auto"/>
      </w:pPr>
      <w:r>
        <w:separator/>
      </w:r>
    </w:p>
  </w:endnote>
  <w:endnote w:type="continuationSeparator" w:id="0">
    <w:p w:rsidR="00790AC3" w:rsidRDefault="00790AC3"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C3" w:rsidRDefault="00790AC3" w:rsidP="00FB35C9">
      <w:pPr>
        <w:spacing w:after="0" w:line="240" w:lineRule="auto"/>
      </w:pPr>
      <w:r>
        <w:separator/>
      </w:r>
    </w:p>
  </w:footnote>
  <w:footnote w:type="continuationSeparator" w:id="0">
    <w:p w:rsidR="00790AC3" w:rsidRDefault="00790AC3"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90EAC"/>
    <w:rsid w:val="0009320D"/>
    <w:rsid w:val="000A4603"/>
    <w:rsid w:val="000C44A6"/>
    <w:rsid w:val="000C4569"/>
    <w:rsid w:val="000E2687"/>
    <w:rsid w:val="000F0C55"/>
    <w:rsid w:val="000F62AB"/>
    <w:rsid w:val="001115A1"/>
    <w:rsid w:val="001127E8"/>
    <w:rsid w:val="00144E44"/>
    <w:rsid w:val="00175F2A"/>
    <w:rsid w:val="001805D3"/>
    <w:rsid w:val="001818A5"/>
    <w:rsid w:val="00182563"/>
    <w:rsid w:val="00196A9C"/>
    <w:rsid w:val="001B04C0"/>
    <w:rsid w:val="001C26C5"/>
    <w:rsid w:val="001C28DF"/>
    <w:rsid w:val="001C4435"/>
    <w:rsid w:val="001E0152"/>
    <w:rsid w:val="001F301B"/>
    <w:rsid w:val="001F69C1"/>
    <w:rsid w:val="0020581B"/>
    <w:rsid w:val="00207FB2"/>
    <w:rsid w:val="00210D50"/>
    <w:rsid w:val="0021614D"/>
    <w:rsid w:val="00236F4C"/>
    <w:rsid w:val="00251558"/>
    <w:rsid w:val="0027652F"/>
    <w:rsid w:val="0029086E"/>
    <w:rsid w:val="002A5608"/>
    <w:rsid w:val="002B4EDF"/>
    <w:rsid w:val="002D0C7F"/>
    <w:rsid w:val="0033180E"/>
    <w:rsid w:val="00332CD4"/>
    <w:rsid w:val="00337393"/>
    <w:rsid w:val="00354445"/>
    <w:rsid w:val="0036086D"/>
    <w:rsid w:val="00385CA4"/>
    <w:rsid w:val="003875D2"/>
    <w:rsid w:val="003A173E"/>
    <w:rsid w:val="0042375E"/>
    <w:rsid w:val="004679A2"/>
    <w:rsid w:val="004867CA"/>
    <w:rsid w:val="00492EC8"/>
    <w:rsid w:val="004C00AC"/>
    <w:rsid w:val="004C113E"/>
    <w:rsid w:val="004C2918"/>
    <w:rsid w:val="004C7C9F"/>
    <w:rsid w:val="004D738B"/>
    <w:rsid w:val="004F4812"/>
    <w:rsid w:val="00504789"/>
    <w:rsid w:val="005123FC"/>
    <w:rsid w:val="005324A9"/>
    <w:rsid w:val="00532DF6"/>
    <w:rsid w:val="005D5EFB"/>
    <w:rsid w:val="005E070E"/>
    <w:rsid w:val="005E744D"/>
    <w:rsid w:val="005F482C"/>
    <w:rsid w:val="00605F96"/>
    <w:rsid w:val="00622D81"/>
    <w:rsid w:val="00635B77"/>
    <w:rsid w:val="006932DA"/>
    <w:rsid w:val="006A0406"/>
    <w:rsid w:val="006C0FD7"/>
    <w:rsid w:val="006C1F12"/>
    <w:rsid w:val="006D723F"/>
    <w:rsid w:val="0071294E"/>
    <w:rsid w:val="007437D9"/>
    <w:rsid w:val="00757F39"/>
    <w:rsid w:val="0077558C"/>
    <w:rsid w:val="00790AC3"/>
    <w:rsid w:val="007C4CED"/>
    <w:rsid w:val="007C5CE9"/>
    <w:rsid w:val="007D6912"/>
    <w:rsid w:val="00830448"/>
    <w:rsid w:val="00884637"/>
    <w:rsid w:val="00892F50"/>
    <w:rsid w:val="008F0FEE"/>
    <w:rsid w:val="009052F5"/>
    <w:rsid w:val="009059FA"/>
    <w:rsid w:val="00940D45"/>
    <w:rsid w:val="00944309"/>
    <w:rsid w:val="0096496A"/>
    <w:rsid w:val="009D0E1E"/>
    <w:rsid w:val="009D44EB"/>
    <w:rsid w:val="009E45EC"/>
    <w:rsid w:val="00A02D88"/>
    <w:rsid w:val="00A61779"/>
    <w:rsid w:val="00A62339"/>
    <w:rsid w:val="00A648B6"/>
    <w:rsid w:val="00A83ABE"/>
    <w:rsid w:val="00A94BE1"/>
    <w:rsid w:val="00AB7C8A"/>
    <w:rsid w:val="00AD52DC"/>
    <w:rsid w:val="00B217BA"/>
    <w:rsid w:val="00B22A07"/>
    <w:rsid w:val="00B44680"/>
    <w:rsid w:val="00B54581"/>
    <w:rsid w:val="00B62CAC"/>
    <w:rsid w:val="00BA083D"/>
    <w:rsid w:val="00BA7C2F"/>
    <w:rsid w:val="00BE4537"/>
    <w:rsid w:val="00C131C5"/>
    <w:rsid w:val="00C34F00"/>
    <w:rsid w:val="00C55D30"/>
    <w:rsid w:val="00C60E7A"/>
    <w:rsid w:val="00C93878"/>
    <w:rsid w:val="00C96DEE"/>
    <w:rsid w:val="00CA4F07"/>
    <w:rsid w:val="00D00CD5"/>
    <w:rsid w:val="00D1051E"/>
    <w:rsid w:val="00D22E27"/>
    <w:rsid w:val="00D24DB1"/>
    <w:rsid w:val="00D31385"/>
    <w:rsid w:val="00D35B83"/>
    <w:rsid w:val="00D46F1B"/>
    <w:rsid w:val="00D52E13"/>
    <w:rsid w:val="00D52FB7"/>
    <w:rsid w:val="00D753C0"/>
    <w:rsid w:val="00D850BF"/>
    <w:rsid w:val="00D900D4"/>
    <w:rsid w:val="00D9151E"/>
    <w:rsid w:val="00D9344D"/>
    <w:rsid w:val="00D9357C"/>
    <w:rsid w:val="00DA31C2"/>
    <w:rsid w:val="00DA6B8D"/>
    <w:rsid w:val="00DB0C56"/>
    <w:rsid w:val="00DD451C"/>
    <w:rsid w:val="00DD4A1F"/>
    <w:rsid w:val="00DE2C78"/>
    <w:rsid w:val="00DF573C"/>
    <w:rsid w:val="00E3458E"/>
    <w:rsid w:val="00E43589"/>
    <w:rsid w:val="00E61FD8"/>
    <w:rsid w:val="00E62BB7"/>
    <w:rsid w:val="00E72ABF"/>
    <w:rsid w:val="00E91422"/>
    <w:rsid w:val="00EC5B7F"/>
    <w:rsid w:val="00EE4F73"/>
    <w:rsid w:val="00EE6028"/>
    <w:rsid w:val="00EF68BA"/>
    <w:rsid w:val="00F30425"/>
    <w:rsid w:val="00F66F9F"/>
    <w:rsid w:val="00F803C1"/>
    <w:rsid w:val="00F94151"/>
    <w:rsid w:val="00FA05E5"/>
    <w:rsid w:val="00FB2ED9"/>
    <w:rsid w:val="00FB35C9"/>
    <w:rsid w:val="00FB78D2"/>
    <w:rsid w:val="00FE4AA9"/>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ACD72"/>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B14A-9C86-4ACB-A651-40666EAF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679</Words>
  <Characters>4076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Jan Traczyk</cp:lastModifiedBy>
  <cp:revision>11</cp:revision>
  <cp:lastPrinted>2024-09-26T10:12:00Z</cp:lastPrinted>
  <dcterms:created xsi:type="dcterms:W3CDTF">2024-09-26T08:52:00Z</dcterms:created>
  <dcterms:modified xsi:type="dcterms:W3CDTF">2024-10-03T06:10:00Z</dcterms:modified>
</cp:coreProperties>
</file>