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94A8813"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Dz. U. z 2021 r. poz. 1129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xml:space="preserve">.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38B2AA09"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826CA0">
        <w:rPr>
          <w:rFonts w:ascii="Cambria" w:hAnsi="Cambria" w:cs="Arial"/>
          <w:sz w:val="22"/>
          <w:szCs w:val="22"/>
          <w:lang w:eastAsia="pl-PL"/>
        </w:rPr>
        <w:t xml:space="preserve">Wykonywanie usług z zakresu </w:t>
      </w:r>
      <w:r w:rsidR="00826CA0">
        <w:rPr>
          <w:rFonts w:ascii="Cambria" w:hAnsi="Cambria" w:cs="Arial"/>
          <w:sz w:val="22"/>
          <w:szCs w:val="22"/>
          <w:lang w:eastAsia="pl-PL"/>
        </w:rPr>
        <w:lastRenderedPageBreak/>
        <w:t>gospodarki leśnej na terenie Nadleśnictwa Kolbudy w 2023 roku</w:t>
      </w:r>
      <w:r>
        <w:rPr>
          <w:rFonts w:ascii="Cambria" w:hAnsi="Cambria" w:cs="Arial"/>
          <w:sz w:val="22"/>
          <w:szCs w:val="22"/>
          <w:lang w:eastAsia="pl-PL"/>
        </w:rPr>
        <w:t xml:space="preserve"> </w:t>
      </w:r>
      <w:r w:rsidR="00826CA0">
        <w:rPr>
          <w:rFonts w:ascii="Cambria" w:hAnsi="Cambria" w:cs="Arial"/>
          <w:sz w:val="22"/>
          <w:szCs w:val="22"/>
          <w:lang w:eastAsia="pl-PL"/>
        </w:rPr>
        <w:t xml:space="preserve">– pakiet nr …… </w:t>
      </w:r>
      <w:r>
        <w:rPr>
          <w:rFonts w:ascii="Cambria" w:hAnsi="Cambria" w:cs="Arial"/>
          <w:sz w:val="22"/>
          <w:szCs w:val="22"/>
          <w:lang w:eastAsia="pl-PL"/>
        </w:rPr>
        <w:t>(„Przedmiot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21F54A48"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oświadcza, iż jest mu wiadome, że Zamawiający podlega procesowi certyfikacji według standardów określonych przez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lastRenderedPageBreak/>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4"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4"/>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66908DCA"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DB7D56">
        <w:rPr>
          <w:rFonts w:ascii="Cambria" w:hAnsi="Cambria" w:cs="Arial"/>
          <w:sz w:val="22"/>
          <w:szCs w:val="22"/>
          <w:lang w:eastAsia="pl-PL"/>
        </w:rPr>
        <w:t>___</w:t>
      </w:r>
      <w:r>
        <w:rPr>
          <w:rFonts w:ascii="Cambria" w:hAnsi="Cambria" w:cs="Arial"/>
          <w:sz w:val="22"/>
          <w:szCs w:val="22"/>
          <w:lang w:eastAsia="pl-PL"/>
        </w:rPr>
        <w:t xml:space="preserve">__ r. do dnia </w:t>
      </w:r>
      <w:r w:rsidR="00DB7D56">
        <w:rPr>
          <w:rFonts w:ascii="Cambria" w:hAnsi="Cambria" w:cs="Arial"/>
          <w:sz w:val="22"/>
          <w:szCs w:val="22"/>
          <w:lang w:eastAsia="pl-PL"/>
        </w:rPr>
        <w:t>31.12.2023</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43AB27A" w14:textId="77777777" w:rsidR="00746BFA" w:rsidRDefault="00746BFA" w:rsidP="00225ACD">
      <w:pPr>
        <w:numPr>
          <w:ilvl w:val="0"/>
          <w:numId w:val="16"/>
        </w:numPr>
        <w:suppressAutoHyphens w:val="0"/>
        <w:spacing w:before="120"/>
        <w:ind w:left="567" w:hanging="567"/>
        <w:jc w:val="both"/>
        <w:rPr>
          <w:rFonts w:ascii="Cambria" w:hAnsi="Cambria" w:cs="Arial"/>
          <w:sz w:val="22"/>
          <w:szCs w:val="22"/>
          <w:lang w:eastAsia="pl-PL"/>
        </w:rPr>
      </w:pP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7" w:name="_Hlk107733386"/>
      <w:bookmarkStart w:id="8"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7"/>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8"/>
    </w:p>
    <w:p w14:paraId="654344B1" w14:textId="77777777" w:rsidR="009E4481" w:rsidRDefault="009E4481" w:rsidP="008F41CD">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338031B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DB7D56">
        <w:rPr>
          <w:rFonts w:ascii="Cambria" w:hAnsi="Cambria" w:cs="Arial"/>
          <w:sz w:val="22"/>
          <w:szCs w:val="22"/>
          <w:lang w:eastAsia="pl-PL"/>
        </w:rPr>
        <w:t>siedziby nadleśnictwa</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9"/>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7E1E2323"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r w:rsidR="00DB7D56">
        <w:rPr>
          <w:rFonts w:ascii="Cambria" w:hAnsi="Cambria" w:cs="Arial"/>
          <w:sz w:val="22"/>
          <w:szCs w:val="22"/>
          <w:lang w:eastAsia="pl-PL"/>
        </w:rPr>
        <w:t xml:space="preserve"> w formie …….</w:t>
      </w:r>
      <w:r>
        <w:rPr>
          <w:rFonts w:ascii="Cambria" w:hAnsi="Cambria" w:cs="Arial"/>
          <w:sz w:val="22"/>
          <w:szCs w:val="22"/>
          <w:lang w:eastAsia="pl-PL"/>
        </w:rPr>
        <w:t>.</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0" w:name="_Toc68356757"/>
      <w:r>
        <w:rPr>
          <w:rFonts w:ascii="Cambria" w:hAnsi="Cambria" w:cs="Arial"/>
          <w:b/>
          <w:bCs/>
          <w:kern w:val="32"/>
          <w:sz w:val="22"/>
          <w:szCs w:val="22"/>
          <w:lang w:eastAsia="pl-PL"/>
        </w:rPr>
        <w:br/>
        <w:t>Kary umowne</w:t>
      </w:r>
      <w:bookmarkEnd w:id="10"/>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lastRenderedPageBreak/>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r>
      <w:r>
        <w:rPr>
          <w:rFonts w:ascii="Cambria" w:hAnsi="Cambria" w:cs="Arial"/>
          <w:bCs/>
          <w:sz w:val="22"/>
          <w:szCs w:val="22"/>
          <w:lang w:eastAsia="pl-PL"/>
        </w:rPr>
        <w:lastRenderedPageBreak/>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1"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2"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1"/>
    <w:bookmarkEnd w:id="12"/>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3" w:name="_Hlk81415788"/>
      <w:r>
        <w:rPr>
          <w:rFonts w:ascii="Cambria" w:hAnsi="Cambria" w:cs="Arial"/>
          <w:sz w:val="22"/>
          <w:szCs w:val="22"/>
          <w:lang w:eastAsia="pl-PL"/>
        </w:rPr>
        <w:t xml:space="preserve">każdy przypadek braku środków ochrony indywidualnej </w:t>
      </w:r>
      <w:bookmarkEnd w:id="13"/>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4"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4"/>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w:t>
      </w:r>
      <w:r>
        <w:rPr>
          <w:rFonts w:ascii="Cambria" w:hAnsi="Cambria" w:cs="Arial"/>
          <w:sz w:val="22"/>
          <w:szCs w:val="22"/>
          <w:lang w:eastAsia="pl-PL"/>
        </w:rPr>
        <w:lastRenderedPageBreak/>
        <w:t>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5" w:name="_Toc68356761"/>
      <w:r>
        <w:rPr>
          <w:rFonts w:ascii="Cambria" w:hAnsi="Cambria" w:cs="Arial"/>
          <w:b/>
          <w:sz w:val="22"/>
          <w:szCs w:val="22"/>
          <w:lang w:eastAsia="pl-PL"/>
        </w:rPr>
        <w:br/>
        <w:t>Ubezpieczenia</w:t>
      </w:r>
      <w:bookmarkEnd w:id="15"/>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w:t>
      </w:r>
      <w:r>
        <w:rPr>
          <w:rFonts w:ascii="Cambria" w:hAnsi="Cambria" w:cs="Arial"/>
          <w:sz w:val="22"/>
          <w:szCs w:val="22"/>
          <w:lang w:eastAsia="pl-PL"/>
        </w:rPr>
        <w:lastRenderedPageBreak/>
        <w:t xml:space="preserve">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6" w:name="_Hlk43745153"/>
      <w:r>
        <w:rPr>
          <w:rFonts w:ascii="Cambria" w:hAnsi="Cambria" w:cs="Arial"/>
          <w:sz w:val="22"/>
          <w:szCs w:val="22"/>
          <w:lang w:eastAsia="pl-PL"/>
        </w:rPr>
        <w:t>Zmiana nie może pociągnąć za sobą zwiększenia wynagrodzenia należnego Wykonawcy</w:t>
      </w:r>
      <w:bookmarkEnd w:id="16"/>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2A519221" w14:textId="00529A71" w:rsidR="004A6E07" w:rsidRPr="004A6E07" w:rsidRDefault="004A6E07" w:rsidP="004A6E07">
      <w:pPr>
        <w:tabs>
          <w:tab w:val="left" w:pos="2552"/>
        </w:tabs>
        <w:spacing w:before="240" w:after="240"/>
        <w:jc w:val="center"/>
        <w:rPr>
          <w:rFonts w:ascii="Cambria" w:hAnsi="Cambria" w:cs="Calibri Light"/>
          <w:b/>
        </w:rPr>
      </w:pPr>
      <w:r w:rsidRPr="004A6E07">
        <w:rPr>
          <w:rFonts w:ascii="Cambria" w:hAnsi="Cambria" w:cs="Calibri Light"/>
          <w:b/>
          <w:bCs/>
        </w:rPr>
        <w:lastRenderedPageBreak/>
        <w:t>§ 1</w:t>
      </w:r>
      <w:r>
        <w:rPr>
          <w:rFonts w:ascii="Cambria" w:hAnsi="Cambria" w:cs="Calibri Light"/>
          <w:b/>
          <w:bCs/>
        </w:rPr>
        <w:t>6a</w:t>
      </w:r>
    </w:p>
    <w:p w14:paraId="165FC831" w14:textId="77777777" w:rsidR="004A6E07" w:rsidRPr="004A6E07" w:rsidRDefault="004A6E07" w:rsidP="004A6E07">
      <w:pPr>
        <w:tabs>
          <w:tab w:val="left" w:pos="2552"/>
        </w:tabs>
        <w:spacing w:before="240" w:after="240"/>
        <w:jc w:val="center"/>
        <w:rPr>
          <w:rFonts w:ascii="Cambria" w:hAnsi="Cambria" w:cs="Calibri Light"/>
          <w:bCs/>
        </w:rPr>
      </w:pPr>
      <w:r w:rsidRPr="004A6E07">
        <w:rPr>
          <w:rFonts w:ascii="Cambria" w:hAnsi="Cambria" w:cs="Calibri Light"/>
          <w:b/>
        </w:rPr>
        <w:t>Waloryzacja</w:t>
      </w:r>
    </w:p>
    <w:p w14:paraId="738FCF39"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1.</w:t>
      </w:r>
      <w:r w:rsidRPr="004A6E07">
        <w:rPr>
          <w:rFonts w:ascii="Cambria" w:hAnsi="Cambria" w:cs="Calibri Light"/>
        </w:rPr>
        <w:tab/>
        <w:t>Na zasadach opisanych w niniejszym paragrafie</w:t>
      </w:r>
      <w:r w:rsidRPr="004A6E07" w:rsidDel="00292242">
        <w:rPr>
          <w:rFonts w:ascii="Cambria" w:hAnsi="Cambria" w:cs="Calibri Light"/>
        </w:rPr>
        <w:t xml:space="preserve"> </w:t>
      </w:r>
      <w:r w:rsidRPr="004A6E07">
        <w:rPr>
          <w:rFonts w:ascii="Cambria" w:hAnsi="Cambria" w:cs="Calibri Light"/>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6F0DAC39"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2.</w:t>
      </w:r>
      <w:r w:rsidRPr="004A6E07">
        <w:rPr>
          <w:rFonts w:ascii="Cambria" w:hAnsi="Cambria" w:cs="Calibri Light"/>
        </w:rPr>
        <w:tab/>
        <w:t xml:space="preserve">Waloryzacja zostanie dokonana w oparciu o wartości wskaźników cen towarów i usług konsumpcyjnych ogółem za poprzedni kwartał („Wskaźnik GUS”), ogłoszonych w formie komunikatów Prezesa Głównego Urzędu Statycznego na podstawie art. 25 ust. 11 ustawy z dnia 17 grudnia 1998 r. o emeryturach i rentach z Funduszu Ubezpieczeń Społecznych (tekst jedn.: Dz. U. z 2022 r. poz. 504 z </w:t>
      </w:r>
      <w:proofErr w:type="spellStart"/>
      <w:r w:rsidRPr="004A6E07">
        <w:rPr>
          <w:rFonts w:ascii="Cambria" w:hAnsi="Cambria" w:cs="Calibri Light"/>
        </w:rPr>
        <w:t>późn</w:t>
      </w:r>
      <w:proofErr w:type="spellEnd"/>
      <w:r w:rsidRPr="004A6E07">
        <w:rPr>
          <w:rFonts w:ascii="Cambria" w:hAnsi="Cambria" w:cs="Calibri Light"/>
        </w:rPr>
        <w:t>. zm.).</w:t>
      </w:r>
    </w:p>
    <w:p w14:paraId="7A9503E9"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3.</w:t>
      </w:r>
      <w:r w:rsidRPr="004A6E07">
        <w:rPr>
          <w:rFonts w:ascii="Cambria" w:hAnsi="Cambria" w:cs="Calibri Light"/>
        </w:rPr>
        <w:tab/>
        <w:t xml:space="preserve">Do obliczenia pierwszej Waloryzacji zostaną przyjęte: </w:t>
      </w:r>
    </w:p>
    <w:p w14:paraId="41C3EF91" w14:textId="77777777" w:rsidR="004A6E07" w:rsidRPr="004A6E07" w:rsidRDefault="004A6E07" w:rsidP="004A6E07">
      <w:pPr>
        <w:tabs>
          <w:tab w:val="left" w:pos="284"/>
        </w:tabs>
        <w:spacing w:before="240" w:after="240"/>
        <w:jc w:val="both"/>
        <w:rPr>
          <w:rFonts w:ascii="Cambria" w:hAnsi="Cambria" w:cs="Calibri Light"/>
        </w:rPr>
      </w:pPr>
      <w:bookmarkStart w:id="17" w:name="_Hlk116993729"/>
      <w:r w:rsidRPr="004A6E07">
        <w:rPr>
          <w:rFonts w:ascii="Cambria" w:hAnsi="Cambria" w:cs="Calibri Light"/>
        </w:rPr>
        <w:t>1)</w:t>
      </w:r>
      <w:r w:rsidRPr="004A6E07">
        <w:rPr>
          <w:rFonts w:ascii="Cambria" w:hAnsi="Cambria" w:cs="Calibri Light"/>
        </w:rPr>
        <w:tab/>
        <w:t xml:space="preserve">I Wskaźnik GUS, którym będzie: </w:t>
      </w:r>
    </w:p>
    <w:p w14:paraId="14CA5323"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a)</w:t>
      </w:r>
      <w:r w:rsidRPr="004A6E07">
        <w:rPr>
          <w:rFonts w:ascii="Cambria" w:hAnsi="Cambria" w:cs="Calibri Light"/>
        </w:rPr>
        <w:tab/>
        <w:t xml:space="preserve">w przypadku Waloryzacji ustalanej w Dniu Dokonania Waloryzacji, o którym mowa w ust. 4 pkt (1) – Wskaźnik GUS za pierwszy kwartał roku 2023, z zastrzeżeniem, że jeżeli Umowa została zawarta po </w:t>
      </w:r>
      <w:bookmarkStart w:id="18" w:name="_Hlk116975612"/>
      <w:r w:rsidRPr="004A6E07">
        <w:rPr>
          <w:rFonts w:ascii="Cambria" w:hAnsi="Cambria" w:cs="Calibri Light"/>
        </w:rPr>
        <w:t xml:space="preserve">ogłoszeniu komunikatu Prezesa Głównego Urzędu Statystycznego podającego Wskaźnik GUS za </w:t>
      </w:r>
      <w:bookmarkEnd w:id="18"/>
      <w:r w:rsidRPr="004A6E07">
        <w:rPr>
          <w:rFonts w:ascii="Cambria" w:hAnsi="Cambria" w:cs="Calibri Light"/>
        </w:rPr>
        <w:t xml:space="preserve">pierwszy kwartał roku 2023, to wówczas będzie to Wskaźnik GUS wynikający z pierwszego (licząc od początkowego dnia realizacji Umowy, o którym mowa w § 3 ust. 1) komunikatu </w:t>
      </w:r>
      <w:bookmarkStart w:id="19" w:name="_Hlk116975564"/>
      <w:r w:rsidRPr="004A6E07">
        <w:rPr>
          <w:rFonts w:ascii="Cambria" w:hAnsi="Cambria" w:cs="Calibri Light"/>
        </w:rPr>
        <w:t>Prezesa Głównego Urzędu Statystycznego podającego Wskaźnik GUS</w:t>
      </w:r>
      <w:bookmarkEnd w:id="19"/>
      <w:r w:rsidRPr="004A6E07">
        <w:rPr>
          <w:rFonts w:ascii="Cambria" w:hAnsi="Cambria" w:cs="Calibri Light"/>
        </w:rPr>
        <w:t>;</w:t>
      </w:r>
    </w:p>
    <w:p w14:paraId="30E427CE"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b)</w:t>
      </w:r>
      <w:r w:rsidRPr="004A6E07">
        <w:rPr>
          <w:rFonts w:ascii="Cambria" w:hAnsi="Cambria" w:cs="Calibri Light"/>
        </w:rPr>
        <w:tab/>
        <w:t>w przypadku Waloryzacji ustalanej w każdym innym Dniu Dokonania Waloryzacji niż wskazany w ust. 4 pkt (1) – Wskaźnik GUS wynikający z pierwszego komunikatu Prezesa Głównego Urzędu Statystycznego podającego Wskaźnik GUS opublikowanego po poprzednim Dniu Dokonywania Waloryzacji</w:t>
      </w:r>
      <w:bookmarkEnd w:id="17"/>
      <w:r w:rsidRPr="004A6E07">
        <w:rPr>
          <w:rFonts w:ascii="Cambria" w:hAnsi="Cambria" w:cs="Calibri Light"/>
        </w:rPr>
        <w:t>;</w:t>
      </w:r>
    </w:p>
    <w:p w14:paraId="3BD7C541"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2)</w:t>
      </w:r>
      <w:r w:rsidRPr="004A6E07">
        <w:rPr>
          <w:rFonts w:ascii="Cambria" w:hAnsi="Cambria" w:cs="Calibri Light"/>
        </w:rPr>
        <w:tab/>
        <w:t xml:space="preserve">II Wskaźnik GUS, którym będzie: </w:t>
      </w:r>
    </w:p>
    <w:p w14:paraId="5FB72A06"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a)</w:t>
      </w:r>
      <w:r w:rsidRPr="004A6E07">
        <w:rPr>
          <w:rFonts w:ascii="Cambria" w:hAnsi="Cambria" w:cs="Calibri Light"/>
        </w:rPr>
        <w:tab/>
        <w:t>w przypadku Waloryzacji ustalanej w Dniu Dokonania Waloryzacji, o którym mowa w ust. 4 pkt (1) – Wskaźnik GUS za drugi kwartał roku 2023, z zastrzeżeniem, że jeżeli Umowa została zawarta po ogłoszeniu komunikatu Prezesa Głównego Urzędu Statystycznego podającego Wskaźnik GUS za pierwszy kwartał roku 2023, to wówczas będzie to Wskaźnik GUS wynikający z drugiego (licząc od początkowego dnia realizacji Umowy, o którym mowa w § 3 ust. 1) komunikatu Prezesa Głównego Urzędu Statystycznego podającego Wskaźnik GUS;</w:t>
      </w:r>
    </w:p>
    <w:p w14:paraId="10D4191A"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b)</w:t>
      </w:r>
      <w:r w:rsidRPr="004A6E07">
        <w:rPr>
          <w:rFonts w:ascii="Cambria" w:hAnsi="Cambria" w:cs="Calibri Light"/>
        </w:rPr>
        <w:tab/>
        <w:t>w przypadku Waloryzacji ustalanej w każdym innym Dniu Dokonania Waloryzacji niż wskazany w ust. 4 pkt (1) – Wskaźnik GUS wynikający z drugiego komunikatu Prezesa Głównego Urzędu Statystycznego podającego Wskaźnik GUS opublikowanego po poprzednim Dniu Dokonywania Waloryzacji;</w:t>
      </w:r>
    </w:p>
    <w:p w14:paraId="33D3A3A8"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4.</w:t>
      </w:r>
      <w:r w:rsidRPr="004A6E07">
        <w:rPr>
          <w:rFonts w:ascii="Cambria" w:hAnsi="Cambria" w:cs="Calibri Light"/>
        </w:rPr>
        <w:tab/>
        <w:t xml:space="preserve">W trakcie okresu realizacji Umowy, o którym mowa w § 3 ust. 1, Waloryzacja będzie dokonywana w następujących dniach („Dzień Dokonania Waloryzacji”): </w:t>
      </w:r>
    </w:p>
    <w:p w14:paraId="593A3A1F"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(1)</w:t>
      </w:r>
      <w:r w:rsidRPr="004A6E07">
        <w:rPr>
          <w:rFonts w:ascii="Cambria" w:hAnsi="Cambria" w:cs="Calibri Light"/>
        </w:rPr>
        <w:tab/>
      </w:r>
      <w:bookmarkStart w:id="20" w:name="_Hlk116838883"/>
      <w:r w:rsidRPr="004A6E07">
        <w:rPr>
          <w:rFonts w:ascii="Cambria" w:hAnsi="Cambria" w:cs="Calibri Light"/>
        </w:rPr>
        <w:t>w dniu opublikowania Wskaźnika GUS za drugi kwartał roku 2023, z zastrzeżeniem, że jeżeli Umowa została zawarta po ogłoszeniu komunikatu Prezesa Głównego Urzędu Statystycznego podającego Wskaźnik GUS za pierwszy kwartał roku 2023, to z dniem opublikowania drugiego (licząc od początkowego dnia realizacji Umowy, o którym mowa w § 3 ust. 1) komunikatu Prezesa Głównego Urzędu Statystycznego podającego Wskaźnik GUS;</w:t>
      </w:r>
      <w:bookmarkEnd w:id="20"/>
    </w:p>
    <w:p w14:paraId="29D4AC27"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(2)</w:t>
      </w:r>
      <w:r w:rsidRPr="004A6E07">
        <w:rPr>
          <w:rFonts w:ascii="Cambria" w:hAnsi="Cambria" w:cs="Calibri Light"/>
        </w:rPr>
        <w:tab/>
        <w:t xml:space="preserve">w dniu opublikowania każdego drugiego komunikatu Prezesa Głównego Urzędu Statystycznego podającego Wskaźnik GUS opublikowanego po poprzednim Dniu Dokonywania Waloryzacji, nie dłużej jednak niż 6 miesięcy przed upływem końcowego dnia realizacji Umowy, o którym mowa w § 3 ust. 1. </w:t>
      </w:r>
    </w:p>
    <w:p w14:paraId="5EDD156E"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lastRenderedPageBreak/>
        <w:t>5.</w:t>
      </w:r>
      <w:r w:rsidRPr="004A6E07">
        <w:rPr>
          <w:rFonts w:ascii="Cambria" w:hAnsi="Cambria" w:cs="Calibri Light"/>
        </w:rPr>
        <w:tab/>
        <w:t xml:space="preserve">Waloryzacja nie wymaga zawarcia aneksu do Umowy. Ewentualna Waloryzacja zostanie obliczona przez Zamawiającego. O nowych (zwaloryzowanych) cenach jednostkowych Zamawiający każdorazowo poinformuje Wykonawcę pisemnie podając ich nową wysokość uwzględniającą Waloryzację oraz sposób obliczenia każdej z nich. </w:t>
      </w:r>
    </w:p>
    <w:p w14:paraId="628BFED1"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6.</w:t>
      </w:r>
      <w:r w:rsidRPr="004A6E07">
        <w:rPr>
          <w:rFonts w:ascii="Cambria" w:hAnsi="Cambria" w:cs="Calibri Light"/>
        </w:rPr>
        <w:tab/>
      </w:r>
      <w:bookmarkStart w:id="21" w:name="_Hlk116839192"/>
      <w:r w:rsidRPr="004A6E07">
        <w:rPr>
          <w:rFonts w:ascii="Cambria" w:hAnsi="Cambria" w:cs="Calibri Light"/>
        </w:rPr>
        <w:t>W ramach Waloryzacji, która będzie dokonywana w:</w:t>
      </w:r>
    </w:p>
    <w:p w14:paraId="2FBB7A4F"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 xml:space="preserve">1) </w:t>
      </w:r>
      <w:r w:rsidRPr="004A6E07">
        <w:rPr>
          <w:rFonts w:ascii="Cambria" w:hAnsi="Cambria" w:cs="Calibri Light"/>
        </w:rPr>
        <w:tab/>
        <w:t xml:space="preserve">Dniu Dokonania Waloryzacji, o którym mowa w ust. 4 pkt (1) nowa kwota każdej z cen jednostkowych zostanie ustalona w następujący sposób: </w:t>
      </w:r>
    </w:p>
    <w:p w14:paraId="464FEF22" w14:textId="77777777" w:rsidR="004A6E07" w:rsidRPr="004A6E07" w:rsidRDefault="004A6E07" w:rsidP="004A6E07">
      <w:pPr>
        <w:tabs>
          <w:tab w:val="left" w:pos="284"/>
        </w:tabs>
        <w:spacing w:before="240" w:after="240"/>
        <w:jc w:val="both"/>
        <w:rPr>
          <w:rFonts w:ascii="Cambria" w:hAnsi="Cambria" w:cs="Calibri Light"/>
          <w:vertAlign w:val="subscript"/>
        </w:rPr>
      </w:pPr>
      <w:bookmarkStart w:id="22" w:name="_Hlk116994748"/>
      <w:proofErr w:type="spellStart"/>
      <w:r w:rsidRPr="004A6E07">
        <w:rPr>
          <w:rFonts w:ascii="Cambria" w:hAnsi="Cambria" w:cs="Calibri Light"/>
        </w:rPr>
        <w:t>Cn</w:t>
      </w:r>
      <w:proofErr w:type="spellEnd"/>
      <w:r w:rsidRPr="004A6E07">
        <w:rPr>
          <w:rFonts w:ascii="Cambria" w:hAnsi="Cambria" w:cs="Calibri Light"/>
        </w:rPr>
        <w:t xml:space="preserve"> = </w:t>
      </w:r>
      <w:proofErr w:type="spellStart"/>
      <w:r w:rsidRPr="004A6E07">
        <w:rPr>
          <w:rFonts w:ascii="Cambria" w:hAnsi="Cambria" w:cs="Calibri Light"/>
        </w:rPr>
        <w:t>Cp</w:t>
      </w:r>
      <w:proofErr w:type="spellEnd"/>
      <w:r w:rsidRPr="004A6E07">
        <w:rPr>
          <w:rFonts w:ascii="Cambria" w:hAnsi="Cambria" w:cs="Calibri Light"/>
        </w:rPr>
        <w:t xml:space="preserve"> +(</w:t>
      </w:r>
      <w:proofErr w:type="spellStart"/>
      <w:r w:rsidRPr="004A6E07">
        <w:rPr>
          <w:rFonts w:ascii="Cambria" w:hAnsi="Cambria" w:cs="Calibri Light"/>
        </w:rPr>
        <w:t>Cp</w:t>
      </w:r>
      <w:proofErr w:type="spellEnd"/>
      <w:r w:rsidRPr="004A6E07">
        <w:rPr>
          <w:rFonts w:ascii="Cambria" w:hAnsi="Cambria" w:cs="Calibri Light"/>
        </w:rPr>
        <w:t xml:space="preserve"> x CPI</w:t>
      </w:r>
      <w:r w:rsidRPr="004A6E07">
        <w:rPr>
          <w:rFonts w:ascii="Cambria" w:hAnsi="Cambria" w:cs="Calibri Light"/>
          <w:vertAlign w:val="subscript"/>
        </w:rPr>
        <w:t>I</w:t>
      </w:r>
      <w:r w:rsidRPr="004A6E07">
        <w:rPr>
          <w:rFonts w:ascii="Cambria" w:hAnsi="Cambria" w:cs="Calibri Light"/>
        </w:rPr>
        <w:t>) x 0,5 +(</w:t>
      </w:r>
      <w:proofErr w:type="spellStart"/>
      <w:r w:rsidRPr="004A6E07">
        <w:rPr>
          <w:rFonts w:ascii="Cambria" w:hAnsi="Cambria" w:cs="Calibri Light"/>
        </w:rPr>
        <w:t>Cp</w:t>
      </w:r>
      <w:proofErr w:type="spellEnd"/>
      <w:r w:rsidRPr="004A6E07">
        <w:rPr>
          <w:rFonts w:ascii="Cambria" w:hAnsi="Cambria" w:cs="Calibri Light"/>
        </w:rPr>
        <w:t xml:space="preserve"> x CPI</w:t>
      </w:r>
      <w:r w:rsidRPr="004A6E07">
        <w:rPr>
          <w:rFonts w:ascii="Cambria" w:hAnsi="Cambria" w:cs="Calibri Light"/>
          <w:vertAlign w:val="subscript"/>
        </w:rPr>
        <w:t>II</w:t>
      </w:r>
      <w:r w:rsidRPr="004A6E07">
        <w:rPr>
          <w:rFonts w:ascii="Cambria" w:hAnsi="Cambria" w:cs="Calibri Light"/>
        </w:rPr>
        <w:t>) x 0,5</w:t>
      </w:r>
    </w:p>
    <w:p w14:paraId="0395BB4E"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 xml:space="preserve">gdzie: </w:t>
      </w:r>
    </w:p>
    <w:p w14:paraId="223F4B8C" w14:textId="77777777" w:rsidR="004A6E07" w:rsidRPr="004A6E07" w:rsidRDefault="004A6E07" w:rsidP="004A6E07">
      <w:pPr>
        <w:tabs>
          <w:tab w:val="left" w:pos="284"/>
        </w:tabs>
        <w:spacing w:before="240" w:after="240"/>
        <w:jc w:val="both"/>
        <w:rPr>
          <w:rFonts w:ascii="Cambria" w:hAnsi="Cambria" w:cs="Calibri Light"/>
        </w:rPr>
      </w:pPr>
      <w:proofErr w:type="spellStart"/>
      <w:r w:rsidRPr="004A6E07">
        <w:rPr>
          <w:rFonts w:ascii="Cambria" w:hAnsi="Cambria" w:cs="Calibri Light"/>
        </w:rPr>
        <w:t>Cn</w:t>
      </w:r>
      <w:proofErr w:type="spellEnd"/>
      <w:r w:rsidRPr="004A6E07">
        <w:rPr>
          <w:rFonts w:ascii="Cambria" w:hAnsi="Cambria" w:cs="Calibri Light"/>
        </w:rPr>
        <w:t xml:space="preserve"> </w:t>
      </w:r>
      <w:r w:rsidRPr="004A6E07">
        <w:rPr>
          <w:rFonts w:ascii="Cambria" w:hAnsi="Cambria" w:cs="Calibri Light"/>
        </w:rPr>
        <w:tab/>
        <w:t>to kwota danej nowej ceny jednostkowej po dokonaniu Waloryzacji (wyrażona w PLN);</w:t>
      </w:r>
    </w:p>
    <w:p w14:paraId="7141F3C7" w14:textId="77777777" w:rsidR="004A6E07" w:rsidRPr="004A6E07" w:rsidRDefault="004A6E07" w:rsidP="004A6E07">
      <w:pPr>
        <w:tabs>
          <w:tab w:val="left" w:pos="284"/>
        </w:tabs>
        <w:spacing w:before="240" w:after="240"/>
        <w:jc w:val="both"/>
        <w:rPr>
          <w:rFonts w:ascii="Cambria" w:hAnsi="Cambria" w:cs="Calibri Light"/>
        </w:rPr>
      </w:pPr>
      <w:proofErr w:type="spellStart"/>
      <w:r w:rsidRPr="004A6E07">
        <w:rPr>
          <w:rFonts w:ascii="Cambria" w:hAnsi="Cambria" w:cs="Calibri Light"/>
        </w:rPr>
        <w:t>Cp</w:t>
      </w:r>
      <w:proofErr w:type="spellEnd"/>
      <w:r w:rsidRPr="004A6E07">
        <w:rPr>
          <w:rFonts w:ascii="Cambria" w:hAnsi="Cambria" w:cs="Calibri Light"/>
        </w:rPr>
        <w:t xml:space="preserve"> </w:t>
      </w:r>
      <w:r w:rsidRPr="004A6E07">
        <w:rPr>
          <w:rFonts w:ascii="Cambria" w:hAnsi="Cambria" w:cs="Calibri Light"/>
        </w:rPr>
        <w:tab/>
        <w:t>to kwota danej ceny jednostkowej pierwotnie podana w kosztorysie zawartym w Ofercie (wyrażona w PLN);</w:t>
      </w:r>
    </w:p>
    <w:p w14:paraId="0A3202CC"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CPI</w:t>
      </w:r>
      <w:r w:rsidRPr="004A6E07">
        <w:rPr>
          <w:rFonts w:ascii="Cambria" w:hAnsi="Cambria" w:cs="Calibri Light"/>
          <w:vertAlign w:val="subscript"/>
        </w:rPr>
        <w:t>I</w:t>
      </w:r>
      <w:r w:rsidRPr="004A6E07">
        <w:rPr>
          <w:rFonts w:ascii="Cambria" w:hAnsi="Cambria" w:cs="Calibri Light"/>
        </w:rPr>
        <w:t xml:space="preserve"> </w:t>
      </w:r>
      <w:r w:rsidRPr="004A6E07">
        <w:rPr>
          <w:rFonts w:ascii="Cambria" w:hAnsi="Cambria" w:cs="Calibri Light"/>
        </w:rPr>
        <w:tab/>
        <w:t>to procentowa wartość wzrostu cen wynikająca z I Wskaźnika GUS (wyrażona jako %);</w:t>
      </w:r>
    </w:p>
    <w:p w14:paraId="3BA1F5FF"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 xml:space="preserve">Z zastrzeżeniem, że w przypadku, gdy: </w:t>
      </w:r>
    </w:p>
    <w:p w14:paraId="4F66FFB8"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(i)</w:t>
      </w:r>
      <w:r w:rsidRPr="004A6E07">
        <w:rPr>
          <w:rFonts w:ascii="Cambria" w:hAnsi="Cambria" w:cs="Calibri Light"/>
        </w:rPr>
        <w:tab/>
        <w:t xml:space="preserve">wartość wzrostu cen wynikająca z I Wskaźnika GUS będzie mniejsza niż 2% to wówczas do obliczenia </w:t>
      </w:r>
      <w:proofErr w:type="spellStart"/>
      <w:r w:rsidRPr="004A6E07">
        <w:rPr>
          <w:rFonts w:ascii="Cambria" w:hAnsi="Cambria" w:cs="Calibri Light"/>
        </w:rPr>
        <w:t>Cn</w:t>
      </w:r>
      <w:proofErr w:type="spellEnd"/>
      <w:r w:rsidRPr="004A6E07">
        <w:rPr>
          <w:rFonts w:ascii="Cambria" w:hAnsi="Cambria" w:cs="Calibri Light"/>
        </w:rPr>
        <w:t xml:space="preserve"> zostanie przyjęta wartość 0 (zero); </w:t>
      </w:r>
    </w:p>
    <w:p w14:paraId="3D6D05A5"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(ii)</w:t>
      </w:r>
      <w:r w:rsidRPr="004A6E07">
        <w:rPr>
          <w:rFonts w:ascii="Cambria" w:hAnsi="Cambria" w:cs="Calibri Light"/>
        </w:rPr>
        <w:tab/>
        <w:t xml:space="preserve">wartość spadku cen wynikająca z I Wskaźnika GUS będzie mniejsza niż 2% to wówczas do obliczenia </w:t>
      </w:r>
      <w:proofErr w:type="spellStart"/>
      <w:r w:rsidRPr="004A6E07">
        <w:rPr>
          <w:rFonts w:ascii="Cambria" w:hAnsi="Cambria" w:cs="Calibri Light"/>
        </w:rPr>
        <w:t>Cn</w:t>
      </w:r>
      <w:proofErr w:type="spellEnd"/>
      <w:r w:rsidRPr="004A6E07">
        <w:rPr>
          <w:rFonts w:ascii="Cambria" w:hAnsi="Cambria" w:cs="Calibri Light"/>
        </w:rPr>
        <w:t xml:space="preserve"> zostanie przyjęta wartość 0 (zero); </w:t>
      </w:r>
    </w:p>
    <w:p w14:paraId="1A7E4F94"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CPI</w:t>
      </w:r>
      <w:r w:rsidRPr="004A6E07">
        <w:rPr>
          <w:rFonts w:ascii="Cambria" w:hAnsi="Cambria" w:cs="Calibri Light"/>
          <w:vertAlign w:val="subscript"/>
        </w:rPr>
        <w:t>II</w:t>
      </w:r>
      <w:r w:rsidRPr="004A6E07">
        <w:rPr>
          <w:rFonts w:ascii="Cambria" w:hAnsi="Cambria" w:cs="Calibri Light"/>
        </w:rPr>
        <w:t xml:space="preserve"> </w:t>
      </w:r>
      <w:r w:rsidRPr="004A6E07">
        <w:rPr>
          <w:rFonts w:ascii="Cambria" w:hAnsi="Cambria" w:cs="Calibri Light"/>
        </w:rPr>
        <w:tab/>
        <w:t>to procentowa wartość wzrostu cen wynikająca w II Wskaźnika GUS (wyrażona jako %);</w:t>
      </w:r>
    </w:p>
    <w:p w14:paraId="7ABFA2ED"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Z zastrzeżeniem, że w przypadku, gdy:</w:t>
      </w:r>
    </w:p>
    <w:p w14:paraId="24DA46D9"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(i)</w:t>
      </w:r>
      <w:r w:rsidRPr="004A6E07">
        <w:rPr>
          <w:rFonts w:ascii="Cambria" w:hAnsi="Cambria" w:cs="Calibri Light"/>
        </w:rPr>
        <w:tab/>
        <w:t xml:space="preserve">wartość wzrostu cen wynikająca z II Wskaźnika GUS będzie mniejsza niż 2% to wówczas do obliczenia </w:t>
      </w:r>
      <w:proofErr w:type="spellStart"/>
      <w:r w:rsidRPr="004A6E07">
        <w:rPr>
          <w:rFonts w:ascii="Cambria" w:hAnsi="Cambria" w:cs="Calibri Light"/>
        </w:rPr>
        <w:t>Cn</w:t>
      </w:r>
      <w:proofErr w:type="spellEnd"/>
      <w:r w:rsidRPr="004A6E07">
        <w:rPr>
          <w:rFonts w:ascii="Cambria" w:hAnsi="Cambria" w:cs="Calibri Light"/>
        </w:rPr>
        <w:t xml:space="preserve"> zostanie przyjęta wartość 0 (zero); </w:t>
      </w:r>
    </w:p>
    <w:p w14:paraId="64DCCA45"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(ii)</w:t>
      </w:r>
      <w:r w:rsidRPr="004A6E07">
        <w:rPr>
          <w:rFonts w:ascii="Cambria" w:hAnsi="Cambria" w:cs="Calibri Light"/>
        </w:rPr>
        <w:tab/>
        <w:t xml:space="preserve">wartość spadku cen wynikająca z II Wskaźnika GUS będzie mniejsza niż 2% to wówczas do obliczenia </w:t>
      </w:r>
      <w:proofErr w:type="spellStart"/>
      <w:r w:rsidRPr="004A6E07">
        <w:rPr>
          <w:rFonts w:ascii="Cambria" w:hAnsi="Cambria" w:cs="Calibri Light"/>
        </w:rPr>
        <w:t>Cn</w:t>
      </w:r>
      <w:proofErr w:type="spellEnd"/>
      <w:r w:rsidRPr="004A6E07">
        <w:rPr>
          <w:rFonts w:ascii="Cambria" w:hAnsi="Cambria" w:cs="Calibri Light"/>
        </w:rPr>
        <w:t xml:space="preserve"> zostanie przyjęta wartość 0 (zero); </w:t>
      </w:r>
    </w:p>
    <w:p w14:paraId="0548B84C"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W przypadku, gdy wartość CPI</w:t>
      </w:r>
      <w:r w:rsidRPr="004A6E07">
        <w:rPr>
          <w:rFonts w:ascii="Cambria" w:hAnsi="Cambria" w:cs="Calibri Light"/>
          <w:vertAlign w:val="subscript"/>
        </w:rPr>
        <w:t>I</w:t>
      </w:r>
      <w:r w:rsidRPr="004A6E07">
        <w:rPr>
          <w:rFonts w:ascii="Cambria" w:hAnsi="Cambria" w:cs="Calibri Light"/>
        </w:rPr>
        <w:t xml:space="preserve"> wynosić będzie 0 (zero) oraz wartość CPI</w:t>
      </w:r>
      <w:r w:rsidRPr="004A6E07">
        <w:rPr>
          <w:rFonts w:ascii="Cambria" w:hAnsi="Cambria" w:cs="Calibri Light"/>
          <w:vertAlign w:val="subscript"/>
        </w:rPr>
        <w:t>II</w:t>
      </w:r>
      <w:r w:rsidRPr="004A6E07">
        <w:rPr>
          <w:rFonts w:ascii="Cambria" w:hAnsi="Cambria" w:cs="Calibri Light"/>
        </w:rPr>
        <w:t xml:space="preserve"> wynosić będzie 0 (zero) to wówczas Waloryzacja nie będzie dokonywana. </w:t>
      </w:r>
    </w:p>
    <w:p w14:paraId="51D2FF6B"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 xml:space="preserve">Wyniki mnożenia zostaną zaokrąglone zostaną do dwóch miejsc po przecinku. </w:t>
      </w:r>
      <w:bookmarkEnd w:id="21"/>
      <w:bookmarkEnd w:id="22"/>
    </w:p>
    <w:p w14:paraId="269D9479"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2)</w:t>
      </w:r>
      <w:r w:rsidRPr="004A6E07">
        <w:rPr>
          <w:rFonts w:ascii="Cambria" w:hAnsi="Cambria" w:cs="Calibri Light"/>
        </w:rPr>
        <w:tab/>
        <w:t xml:space="preserve">w każdym Dniu Dokonania Waloryzacji innym niż wskazany w ust. 4 pkt (1) nowa kwota każdej z cen jednostkowych zostanie ustalona w następujący sposób: </w:t>
      </w:r>
    </w:p>
    <w:p w14:paraId="0655AF51" w14:textId="77777777" w:rsidR="004A6E07" w:rsidRPr="004A6E07" w:rsidRDefault="004A6E07" w:rsidP="004A6E07">
      <w:pPr>
        <w:tabs>
          <w:tab w:val="left" w:pos="284"/>
        </w:tabs>
        <w:spacing w:before="240" w:after="240"/>
        <w:jc w:val="both"/>
        <w:rPr>
          <w:rFonts w:ascii="Cambria" w:hAnsi="Cambria" w:cs="Calibri Light"/>
        </w:rPr>
      </w:pPr>
      <w:proofErr w:type="spellStart"/>
      <w:r w:rsidRPr="004A6E07">
        <w:rPr>
          <w:rFonts w:ascii="Cambria" w:hAnsi="Cambria" w:cs="Calibri Light"/>
        </w:rPr>
        <w:t>Cn</w:t>
      </w:r>
      <w:proofErr w:type="spellEnd"/>
      <w:r w:rsidRPr="004A6E07">
        <w:rPr>
          <w:rFonts w:ascii="Cambria" w:hAnsi="Cambria" w:cs="Calibri Light"/>
        </w:rPr>
        <w:t xml:space="preserve"> = </w:t>
      </w:r>
      <w:proofErr w:type="spellStart"/>
      <w:r w:rsidRPr="004A6E07">
        <w:rPr>
          <w:rFonts w:ascii="Cambria" w:hAnsi="Cambria" w:cs="Calibri Light"/>
        </w:rPr>
        <w:t>Cp</w:t>
      </w:r>
      <w:proofErr w:type="spellEnd"/>
      <w:r w:rsidRPr="004A6E07">
        <w:rPr>
          <w:rFonts w:ascii="Cambria" w:hAnsi="Cambria" w:cs="Calibri Light"/>
        </w:rPr>
        <w:t xml:space="preserve"> +(</w:t>
      </w:r>
      <w:proofErr w:type="spellStart"/>
      <w:r w:rsidRPr="004A6E07">
        <w:rPr>
          <w:rFonts w:ascii="Cambria" w:hAnsi="Cambria" w:cs="Calibri Light"/>
        </w:rPr>
        <w:t>Cp</w:t>
      </w:r>
      <w:proofErr w:type="spellEnd"/>
      <w:r w:rsidRPr="004A6E07">
        <w:rPr>
          <w:rFonts w:ascii="Cambria" w:hAnsi="Cambria" w:cs="Calibri Light"/>
        </w:rPr>
        <w:t xml:space="preserve"> x CPI</w:t>
      </w:r>
      <w:r w:rsidRPr="004A6E07">
        <w:rPr>
          <w:rFonts w:ascii="Cambria" w:hAnsi="Cambria" w:cs="Calibri Light"/>
          <w:vertAlign w:val="subscript"/>
        </w:rPr>
        <w:t>I</w:t>
      </w:r>
      <w:r w:rsidRPr="004A6E07">
        <w:rPr>
          <w:rFonts w:ascii="Cambria" w:hAnsi="Cambria" w:cs="Calibri Light"/>
        </w:rPr>
        <w:t>) x 0,5 +(</w:t>
      </w:r>
      <w:proofErr w:type="spellStart"/>
      <w:r w:rsidRPr="004A6E07">
        <w:rPr>
          <w:rFonts w:ascii="Cambria" w:hAnsi="Cambria" w:cs="Calibri Light"/>
        </w:rPr>
        <w:t>Cp</w:t>
      </w:r>
      <w:proofErr w:type="spellEnd"/>
      <w:r w:rsidRPr="004A6E07">
        <w:rPr>
          <w:rFonts w:ascii="Cambria" w:hAnsi="Cambria" w:cs="Calibri Light"/>
        </w:rPr>
        <w:t xml:space="preserve"> x CPI</w:t>
      </w:r>
      <w:r w:rsidRPr="004A6E07">
        <w:rPr>
          <w:rFonts w:ascii="Cambria" w:hAnsi="Cambria" w:cs="Calibri Light"/>
          <w:vertAlign w:val="subscript"/>
        </w:rPr>
        <w:t>II</w:t>
      </w:r>
      <w:r w:rsidRPr="004A6E07">
        <w:rPr>
          <w:rFonts w:ascii="Cambria" w:hAnsi="Cambria" w:cs="Calibri Light"/>
        </w:rPr>
        <w:t>) x 0,5</w:t>
      </w:r>
    </w:p>
    <w:p w14:paraId="2033633C"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 xml:space="preserve">gdzie: </w:t>
      </w:r>
    </w:p>
    <w:p w14:paraId="6E72C019" w14:textId="77777777" w:rsidR="004A6E07" w:rsidRPr="004A6E07" w:rsidRDefault="004A6E07" w:rsidP="004A6E07">
      <w:pPr>
        <w:tabs>
          <w:tab w:val="left" w:pos="284"/>
        </w:tabs>
        <w:spacing w:before="240" w:after="240"/>
        <w:jc w:val="both"/>
        <w:rPr>
          <w:rFonts w:ascii="Cambria" w:hAnsi="Cambria" w:cs="Calibri Light"/>
        </w:rPr>
      </w:pPr>
      <w:proofErr w:type="spellStart"/>
      <w:r w:rsidRPr="004A6E07">
        <w:rPr>
          <w:rFonts w:ascii="Cambria" w:hAnsi="Cambria" w:cs="Calibri Light"/>
        </w:rPr>
        <w:t>Cn</w:t>
      </w:r>
      <w:proofErr w:type="spellEnd"/>
      <w:r w:rsidRPr="004A6E07">
        <w:rPr>
          <w:rFonts w:ascii="Cambria" w:hAnsi="Cambria" w:cs="Calibri Light"/>
        </w:rPr>
        <w:t xml:space="preserve"> </w:t>
      </w:r>
      <w:r w:rsidRPr="004A6E07">
        <w:rPr>
          <w:rFonts w:ascii="Cambria" w:hAnsi="Cambria" w:cs="Calibri Light"/>
        </w:rPr>
        <w:tab/>
        <w:t>to kwota danej nowej ceny jednostkowej po dokonaniu Waloryzacji (wyrażona w PLN);</w:t>
      </w:r>
    </w:p>
    <w:p w14:paraId="43406DFA" w14:textId="77777777" w:rsidR="004A6E07" w:rsidRPr="004A6E07" w:rsidRDefault="004A6E07" w:rsidP="004A6E07">
      <w:pPr>
        <w:tabs>
          <w:tab w:val="left" w:pos="284"/>
        </w:tabs>
        <w:spacing w:before="240" w:after="240"/>
        <w:jc w:val="both"/>
        <w:rPr>
          <w:rFonts w:ascii="Cambria" w:hAnsi="Cambria" w:cs="Calibri Light"/>
        </w:rPr>
      </w:pPr>
      <w:proofErr w:type="spellStart"/>
      <w:r w:rsidRPr="004A6E07">
        <w:rPr>
          <w:rFonts w:ascii="Cambria" w:hAnsi="Cambria" w:cs="Calibri Light"/>
        </w:rPr>
        <w:t>Cp</w:t>
      </w:r>
      <w:proofErr w:type="spellEnd"/>
      <w:r w:rsidRPr="004A6E07">
        <w:rPr>
          <w:rFonts w:ascii="Cambria" w:hAnsi="Cambria" w:cs="Calibri Light"/>
        </w:rPr>
        <w:t xml:space="preserve"> </w:t>
      </w:r>
      <w:r w:rsidRPr="004A6E07">
        <w:rPr>
          <w:rFonts w:ascii="Cambria" w:hAnsi="Cambria" w:cs="Calibri Light"/>
        </w:rPr>
        <w:tab/>
        <w:t>to kwota danej ceny jednostkowej określona poprzednim Dniu Dokonywania Waloryzacji, a jeżeli jej nie dokonywano z uwagi na postanowienia Umowy, kwota danej ceny jednostkowej pierwotnie podana w kosztorysie zawartym w Ofercie (wyrażona w PLN);</w:t>
      </w:r>
    </w:p>
    <w:p w14:paraId="19C7E311"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CPI</w:t>
      </w:r>
      <w:r w:rsidRPr="004A6E07">
        <w:rPr>
          <w:rFonts w:ascii="Cambria" w:hAnsi="Cambria" w:cs="Calibri Light"/>
          <w:vertAlign w:val="subscript"/>
        </w:rPr>
        <w:t>I</w:t>
      </w:r>
      <w:r w:rsidRPr="004A6E07">
        <w:rPr>
          <w:rFonts w:ascii="Cambria" w:hAnsi="Cambria" w:cs="Calibri Light"/>
        </w:rPr>
        <w:t xml:space="preserve"> </w:t>
      </w:r>
      <w:r w:rsidRPr="004A6E07">
        <w:rPr>
          <w:rFonts w:ascii="Cambria" w:hAnsi="Cambria" w:cs="Calibri Light"/>
        </w:rPr>
        <w:tab/>
        <w:t>to procentowa wartość wzrostu cen wynikająca z I Wskaźnika GUS (wyrażona jako %);</w:t>
      </w:r>
    </w:p>
    <w:p w14:paraId="245ED573"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lastRenderedPageBreak/>
        <w:t xml:space="preserve">Z zastrzeżeniem, że w przypadku, gdy: </w:t>
      </w:r>
    </w:p>
    <w:p w14:paraId="652F612F"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(i)</w:t>
      </w:r>
      <w:r w:rsidRPr="004A6E07">
        <w:rPr>
          <w:rFonts w:ascii="Cambria" w:hAnsi="Cambria" w:cs="Calibri Light"/>
        </w:rPr>
        <w:tab/>
        <w:t xml:space="preserve">wartość wzrostu cen wynikająca z I Wskaźnika GUS będzie mniejsza niż 2% to wówczas do obliczenia </w:t>
      </w:r>
      <w:proofErr w:type="spellStart"/>
      <w:r w:rsidRPr="004A6E07">
        <w:rPr>
          <w:rFonts w:ascii="Cambria" w:hAnsi="Cambria" w:cs="Calibri Light"/>
        </w:rPr>
        <w:t>Cn</w:t>
      </w:r>
      <w:proofErr w:type="spellEnd"/>
      <w:r w:rsidRPr="004A6E07">
        <w:rPr>
          <w:rFonts w:ascii="Cambria" w:hAnsi="Cambria" w:cs="Calibri Light"/>
        </w:rPr>
        <w:t xml:space="preserve"> zostanie przyjęta wartość 0 (zero); </w:t>
      </w:r>
    </w:p>
    <w:p w14:paraId="65B0420E"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(ii)</w:t>
      </w:r>
      <w:r w:rsidRPr="004A6E07">
        <w:rPr>
          <w:rFonts w:ascii="Cambria" w:hAnsi="Cambria" w:cs="Calibri Light"/>
        </w:rPr>
        <w:tab/>
        <w:t xml:space="preserve">wartość spadku cen wynikająca z I Wskaźnika GUS będzie mniejsza niż 2% to wówczas do obliczenia </w:t>
      </w:r>
      <w:proofErr w:type="spellStart"/>
      <w:r w:rsidRPr="004A6E07">
        <w:rPr>
          <w:rFonts w:ascii="Cambria" w:hAnsi="Cambria" w:cs="Calibri Light"/>
        </w:rPr>
        <w:t>Cn</w:t>
      </w:r>
      <w:proofErr w:type="spellEnd"/>
      <w:r w:rsidRPr="004A6E07">
        <w:rPr>
          <w:rFonts w:ascii="Cambria" w:hAnsi="Cambria" w:cs="Calibri Light"/>
        </w:rPr>
        <w:t xml:space="preserve"> zostanie przyjęta wartość 0 (zero); </w:t>
      </w:r>
    </w:p>
    <w:p w14:paraId="35E30833"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CPI</w:t>
      </w:r>
      <w:r w:rsidRPr="004A6E07">
        <w:rPr>
          <w:rFonts w:ascii="Cambria" w:hAnsi="Cambria" w:cs="Calibri Light"/>
          <w:vertAlign w:val="subscript"/>
        </w:rPr>
        <w:t>II</w:t>
      </w:r>
      <w:r w:rsidRPr="004A6E07">
        <w:rPr>
          <w:rFonts w:ascii="Cambria" w:hAnsi="Cambria" w:cs="Calibri Light"/>
        </w:rPr>
        <w:t xml:space="preserve"> </w:t>
      </w:r>
      <w:r w:rsidRPr="004A6E07">
        <w:rPr>
          <w:rFonts w:ascii="Cambria" w:hAnsi="Cambria" w:cs="Calibri Light"/>
        </w:rPr>
        <w:tab/>
        <w:t>to procentowa wartość wzrostu cen wynikająca w II Wskaźnika GUS (wyrażona jako %);</w:t>
      </w:r>
    </w:p>
    <w:p w14:paraId="61BE62B1"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Z zastrzeżeniem, że w przypadku, gdy:</w:t>
      </w:r>
    </w:p>
    <w:p w14:paraId="5FDD1C28"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(i)</w:t>
      </w:r>
      <w:r w:rsidRPr="004A6E07">
        <w:rPr>
          <w:rFonts w:ascii="Cambria" w:hAnsi="Cambria" w:cs="Calibri Light"/>
        </w:rPr>
        <w:tab/>
        <w:t xml:space="preserve">wartość wzrostu cen wynikająca z II Wskaźnika GUS będzie mniejsza niż 2% to wówczas do obliczenia </w:t>
      </w:r>
      <w:proofErr w:type="spellStart"/>
      <w:r w:rsidRPr="004A6E07">
        <w:rPr>
          <w:rFonts w:ascii="Cambria" w:hAnsi="Cambria" w:cs="Calibri Light"/>
        </w:rPr>
        <w:t>Cn</w:t>
      </w:r>
      <w:proofErr w:type="spellEnd"/>
      <w:r w:rsidRPr="004A6E07">
        <w:rPr>
          <w:rFonts w:ascii="Cambria" w:hAnsi="Cambria" w:cs="Calibri Light"/>
        </w:rPr>
        <w:t xml:space="preserve"> zostanie przyjęta wartość 0 (zero); </w:t>
      </w:r>
    </w:p>
    <w:p w14:paraId="408E0E09"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(ii)</w:t>
      </w:r>
      <w:r w:rsidRPr="004A6E07">
        <w:rPr>
          <w:rFonts w:ascii="Cambria" w:hAnsi="Cambria" w:cs="Calibri Light"/>
        </w:rPr>
        <w:tab/>
        <w:t xml:space="preserve">wartość spadku cen wynikająca z II Wskaźnika GUS będzie mniejsza niż 2% to wówczas do obliczenia </w:t>
      </w:r>
      <w:proofErr w:type="spellStart"/>
      <w:r w:rsidRPr="004A6E07">
        <w:rPr>
          <w:rFonts w:ascii="Cambria" w:hAnsi="Cambria" w:cs="Calibri Light"/>
        </w:rPr>
        <w:t>Cn</w:t>
      </w:r>
      <w:proofErr w:type="spellEnd"/>
      <w:r w:rsidRPr="004A6E07">
        <w:rPr>
          <w:rFonts w:ascii="Cambria" w:hAnsi="Cambria" w:cs="Calibri Light"/>
        </w:rPr>
        <w:t xml:space="preserve"> zostanie przyjęta wartość 0 (zero); </w:t>
      </w:r>
    </w:p>
    <w:p w14:paraId="24BD5181"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W przypadku, gdy wartość CPI</w:t>
      </w:r>
      <w:r w:rsidRPr="004A6E07">
        <w:rPr>
          <w:rFonts w:ascii="Cambria" w:hAnsi="Cambria" w:cs="Calibri Light"/>
          <w:vertAlign w:val="subscript"/>
        </w:rPr>
        <w:t>I</w:t>
      </w:r>
      <w:r w:rsidRPr="004A6E07">
        <w:rPr>
          <w:rFonts w:ascii="Cambria" w:hAnsi="Cambria" w:cs="Calibri Light"/>
        </w:rPr>
        <w:t xml:space="preserve"> wynosić będzie 0 (zero) oraz wartość CPI</w:t>
      </w:r>
      <w:r w:rsidRPr="004A6E07">
        <w:rPr>
          <w:rFonts w:ascii="Cambria" w:hAnsi="Cambria" w:cs="Calibri Light"/>
          <w:vertAlign w:val="subscript"/>
        </w:rPr>
        <w:t>II</w:t>
      </w:r>
      <w:r w:rsidRPr="004A6E07">
        <w:rPr>
          <w:rFonts w:ascii="Cambria" w:hAnsi="Cambria" w:cs="Calibri Light"/>
        </w:rPr>
        <w:t xml:space="preserve"> wynosić będzie 0 (zero) to wówczas Waloryzacja nie będzie dokonywana. </w:t>
      </w:r>
    </w:p>
    <w:p w14:paraId="0DEC7A5D"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Wyniki mnożenia zostaną zaokrąglone zostaną do dwóch miejsc po przecinku.</w:t>
      </w:r>
    </w:p>
    <w:p w14:paraId="441EF39D"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7.</w:t>
      </w:r>
      <w:r w:rsidRPr="004A6E07">
        <w:rPr>
          <w:rFonts w:ascii="Cambria" w:hAnsi="Cambria" w:cs="Calibri Light"/>
        </w:rPr>
        <w:tab/>
        <w:t xml:space="preserve">Nowe (zwaloryzowane) ceny jednostkowe będą dotyczyć zapłaty należnej Wykonawcy za czynności odebrane po Dniu Dokonania Waloryzacji, z zastrzeżeniem postanowień ust. 9. </w:t>
      </w:r>
    </w:p>
    <w:p w14:paraId="72749FDB"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8.</w:t>
      </w:r>
      <w:r w:rsidRPr="004A6E07">
        <w:rPr>
          <w:rFonts w:ascii="Cambria" w:hAnsi="Cambria" w:cs="Calibri Light"/>
        </w:rPr>
        <w:tab/>
        <w:t xml:space="preserve">Nowe (zwaloryzowane) ceny jednostkowe będą zastosowane do określenia: </w:t>
      </w:r>
    </w:p>
    <w:p w14:paraId="7F257BE2"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 xml:space="preserve">1) </w:t>
      </w:r>
      <w:r w:rsidRPr="004A6E07">
        <w:rPr>
          <w:rFonts w:ascii="Cambria" w:hAnsi="Cambria" w:cs="Calibri Light"/>
        </w:rPr>
        <w:tab/>
        <w:t xml:space="preserve">wartości prac objętych Zleceniem jako podstawy wymiaru kary umownej, o której mowa w § 13 ust. 1 pkt 2 naliczanej w związku z czynnościami zleconymi po danym Dniu Dokonania Waloryzacji. </w:t>
      </w:r>
    </w:p>
    <w:p w14:paraId="5C0E7985"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 xml:space="preserve">2) </w:t>
      </w:r>
      <w:r w:rsidRPr="004A6E07">
        <w:rPr>
          <w:rFonts w:ascii="Cambria" w:hAnsi="Cambria" w:cs="Calibri Light"/>
        </w:rPr>
        <w:tab/>
        <w:t xml:space="preserve">Wartości Przedmiotu Umowy jako podstawy wymiaru kary umownej, o której mowa w § 13 ust. 3 naliczanej po danym Dniu Dokonania Waloryzacji. </w:t>
      </w:r>
    </w:p>
    <w:p w14:paraId="3258DD3A"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9.</w:t>
      </w:r>
      <w:r w:rsidRPr="004A6E07">
        <w:rPr>
          <w:rFonts w:ascii="Cambria" w:hAnsi="Cambria" w:cs="Calibri Light"/>
        </w:rPr>
        <w:tab/>
        <w:t xml:space="preserve">Jeżeli czynności zlecone przed: </w:t>
      </w:r>
    </w:p>
    <w:p w14:paraId="162BC1DB"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 xml:space="preserve">1) </w:t>
      </w:r>
      <w:r w:rsidRPr="004A6E07">
        <w:rPr>
          <w:rFonts w:ascii="Cambria" w:hAnsi="Cambria" w:cs="Calibri Light"/>
        </w:rPr>
        <w:tab/>
        <w:t>Dniem Dokonania Waloryzacji, o którym mowa w ust. 4 pkt (1) zostaną wykonane w warunkach zwłoki w stosunku do terminu określonego w Zleceniu i będą odbierane po jakimkolwiek Dniu Dokonania Waloryzacji, to w takim przypadku zapłata za ich wykonanie oraz ustalenie wysokości kar umownych nastąpi na podstawie cen jednostkowych podanych w Kosztorysie Ofertowym zawartym w Ofercie;</w:t>
      </w:r>
    </w:p>
    <w:p w14:paraId="27B8A27C"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2)</w:t>
      </w:r>
      <w:r w:rsidRPr="004A6E07">
        <w:rPr>
          <w:rFonts w:ascii="Cambria" w:hAnsi="Cambria" w:cs="Calibri Light"/>
        </w:rPr>
        <w:tab/>
        <w:t xml:space="preserve">Dniem Dokonania Waloryzacji, innym niż wskazany w ust. 4 pkt (1) zostaną wykonane w warunkach zwłoki w stosunku do terminu określonego w Zleceniu i będą odbierane po jakimkolwiek Dniu Dokonania Waloryzacji, to w takim przypadku zapłata za ich wykonanie oraz ustalenie wysokości kar umownych nastąpi na podstawie cen jednostkowych określonych w Dniu Dokonywania Waloryzacji bezpośrednio poprzedzającym Zlecenie, a jeżeli jej nie dokonywano z uwagi na postanowienia Umowy – na podstawie cen jednostkowych podanych w kosztorysie zawartym w Ofercie. </w:t>
      </w:r>
    </w:p>
    <w:p w14:paraId="713E442A"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10.</w:t>
      </w:r>
      <w:r w:rsidRPr="004A6E07">
        <w:rPr>
          <w:rFonts w:ascii="Cambria" w:hAnsi="Cambria" w:cs="Calibri Light"/>
        </w:rPr>
        <w:tab/>
        <w:t>Strony ustalają maksymalną wartość obniżenia albo wzrostu Wartości Przedmiotu Umowy w efekcie zastosowania Waloryzacji na poziomie nie większym niż 15 % Wartości Przedmiotu Umowy.</w:t>
      </w:r>
    </w:p>
    <w:p w14:paraId="7CC9E648"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11.</w:t>
      </w:r>
      <w:r w:rsidRPr="004A6E07">
        <w:rPr>
          <w:rFonts w:ascii="Cambria" w:hAnsi="Cambria" w:cs="Calibri Light"/>
        </w:rPr>
        <w:tab/>
        <w:t xml:space="preserve">W związku z dokonaniem Waloryzacji Zabezpieczenie nie ulegnie zmianie. </w:t>
      </w:r>
    </w:p>
    <w:p w14:paraId="42FE2EED" w14:textId="796F6BF6" w:rsidR="0013110C"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12.</w:t>
      </w:r>
      <w:r w:rsidRPr="004A6E07">
        <w:rPr>
          <w:rFonts w:ascii="Cambria" w:hAnsi="Cambria" w:cs="Calibri Light"/>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4DBF83C" w14:textId="636EE358" w:rsidR="0013110C" w:rsidRDefault="0013110C" w:rsidP="00225ACD">
      <w:pPr>
        <w:suppressAutoHyphens w:val="0"/>
        <w:spacing w:before="120"/>
        <w:ind w:left="567"/>
        <w:jc w:val="both"/>
        <w:rPr>
          <w:rFonts w:ascii="Cambria" w:hAnsi="Cambria" w:cs="Arial"/>
          <w:sz w:val="22"/>
          <w:szCs w:val="22"/>
          <w:lang w:eastAsia="pl-PL"/>
        </w:rPr>
      </w:pPr>
    </w:p>
    <w:p w14:paraId="30148933" w14:textId="3BF9102B" w:rsidR="000C69B9" w:rsidRDefault="000C69B9" w:rsidP="00225ACD">
      <w:pPr>
        <w:suppressAutoHyphens w:val="0"/>
        <w:spacing w:before="120"/>
        <w:ind w:left="567"/>
        <w:jc w:val="both"/>
        <w:rPr>
          <w:rFonts w:ascii="Cambria" w:hAnsi="Cambria" w:cs="Arial"/>
          <w:sz w:val="22"/>
          <w:szCs w:val="22"/>
          <w:lang w:eastAsia="pl-PL"/>
        </w:rPr>
      </w:pP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lastRenderedPageBreak/>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586B67C0" w14:textId="77777777" w:rsidR="00487566" w:rsidRPr="00342250" w:rsidRDefault="00487566" w:rsidP="00487566">
      <w:pPr>
        <w:tabs>
          <w:tab w:val="left" w:pos="1134"/>
        </w:tabs>
        <w:spacing w:before="120" w:after="120" w:line="259" w:lineRule="auto"/>
        <w:ind w:left="720"/>
        <w:contextualSpacing/>
        <w:rPr>
          <w:rFonts w:ascii="Cambria" w:eastAsia="Calibri" w:hAnsi="Cambria" w:cs="Arial"/>
          <w:b/>
          <w:color w:val="000000"/>
          <w:sz w:val="22"/>
          <w:szCs w:val="22"/>
        </w:rPr>
      </w:pPr>
      <w:r w:rsidRPr="00342250">
        <w:rPr>
          <w:rFonts w:ascii="Cambria" w:eastAsia="Calibri" w:hAnsi="Cambria" w:cs="Arial"/>
          <w:b/>
          <w:color w:val="000000"/>
          <w:sz w:val="22"/>
          <w:szCs w:val="22"/>
        </w:rPr>
        <w:t xml:space="preserve">Wykaz zagrożeń występujących na obszarze realizacji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980"/>
        <w:gridCol w:w="5152"/>
      </w:tblGrid>
      <w:tr w:rsidR="00487566" w:rsidRPr="00342250" w14:paraId="78CE52BD" w14:textId="77777777" w:rsidTr="003B0C2C">
        <w:tc>
          <w:tcPr>
            <w:tcW w:w="701" w:type="dxa"/>
            <w:tcBorders>
              <w:bottom w:val="single" w:sz="4" w:space="0" w:color="auto"/>
            </w:tcBorders>
            <w:shd w:val="clear" w:color="auto" w:fill="92D050"/>
          </w:tcPr>
          <w:p w14:paraId="2B782018"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L.P.</w:t>
            </w:r>
          </w:p>
        </w:tc>
        <w:tc>
          <w:tcPr>
            <w:tcW w:w="2980" w:type="dxa"/>
            <w:shd w:val="clear" w:color="auto" w:fill="92D050"/>
          </w:tcPr>
          <w:p w14:paraId="3A740F69"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Zagrożenie</w:t>
            </w:r>
          </w:p>
        </w:tc>
        <w:tc>
          <w:tcPr>
            <w:tcW w:w="5152" w:type="dxa"/>
            <w:shd w:val="clear" w:color="auto" w:fill="92D050"/>
          </w:tcPr>
          <w:p w14:paraId="11800F0E"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Źródło</w:t>
            </w:r>
          </w:p>
        </w:tc>
      </w:tr>
      <w:tr w:rsidR="00487566" w:rsidRPr="00342250" w14:paraId="73AD55A7" w14:textId="77777777" w:rsidTr="003B0C2C">
        <w:tc>
          <w:tcPr>
            <w:tcW w:w="701" w:type="dxa"/>
            <w:shd w:val="clear" w:color="auto" w:fill="92D050"/>
          </w:tcPr>
          <w:p w14:paraId="1E4927E1"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w:t>
            </w:r>
          </w:p>
        </w:tc>
        <w:tc>
          <w:tcPr>
            <w:tcW w:w="2980" w:type="dxa"/>
            <w:shd w:val="clear" w:color="auto" w:fill="auto"/>
          </w:tcPr>
          <w:p w14:paraId="778BA918"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ruchomymi częściami maszyn</w:t>
            </w:r>
          </w:p>
        </w:tc>
        <w:tc>
          <w:tcPr>
            <w:tcW w:w="5152" w:type="dxa"/>
            <w:shd w:val="clear" w:color="auto" w:fill="auto"/>
          </w:tcPr>
          <w:p w14:paraId="43E2ED10"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Wykorzystywane w trakcie prac z zakresu gospodarki leśnej pilarki, ciągniki, wciągarki, </w:t>
            </w:r>
            <w:proofErr w:type="spellStart"/>
            <w:r w:rsidRPr="00342250">
              <w:rPr>
                <w:rFonts w:ascii="Calibri" w:eastAsia="Calibri" w:hAnsi="Calibri"/>
                <w:color w:val="000000"/>
                <w:sz w:val="22"/>
                <w:szCs w:val="22"/>
                <w:lang w:eastAsia="en-US"/>
              </w:rPr>
              <w:t>harwestery</w:t>
            </w:r>
            <w:proofErr w:type="spellEnd"/>
            <w:r w:rsidRPr="00342250">
              <w:rPr>
                <w:rFonts w:ascii="Calibri" w:eastAsia="Calibri" w:hAnsi="Calibri"/>
                <w:color w:val="000000"/>
                <w:sz w:val="22"/>
                <w:szCs w:val="22"/>
                <w:lang w:eastAsia="en-US"/>
              </w:rPr>
              <w:t xml:space="preserve"> oraz pozostałe maszyny.</w:t>
            </w:r>
          </w:p>
        </w:tc>
      </w:tr>
      <w:tr w:rsidR="00487566" w:rsidRPr="00342250" w14:paraId="33500D0F" w14:textId="77777777" w:rsidTr="003B0C2C">
        <w:tc>
          <w:tcPr>
            <w:tcW w:w="701" w:type="dxa"/>
            <w:shd w:val="clear" w:color="auto" w:fill="92D050"/>
          </w:tcPr>
          <w:p w14:paraId="5BBBD583"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w:t>
            </w:r>
          </w:p>
        </w:tc>
        <w:tc>
          <w:tcPr>
            <w:tcW w:w="2980" w:type="dxa"/>
            <w:shd w:val="clear" w:color="auto" w:fill="auto"/>
          </w:tcPr>
          <w:p w14:paraId="4FFAE785"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narzędzia podstawowe oraz urządzenia z napędem własnym</w:t>
            </w:r>
          </w:p>
        </w:tc>
        <w:tc>
          <w:tcPr>
            <w:tcW w:w="5152" w:type="dxa"/>
            <w:shd w:val="clear" w:color="auto" w:fill="auto"/>
          </w:tcPr>
          <w:p w14:paraId="6790A67E"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Wykorzystywane w trakcie prac z zakresu gospodarki leśnej narzędzia (siekiery i pozostałe narzędzia) oraz urządzenia z napędem własnym</w:t>
            </w:r>
          </w:p>
        </w:tc>
      </w:tr>
      <w:tr w:rsidR="00487566" w:rsidRPr="00342250" w14:paraId="239105D9" w14:textId="77777777" w:rsidTr="003B0C2C">
        <w:tc>
          <w:tcPr>
            <w:tcW w:w="701" w:type="dxa"/>
            <w:shd w:val="clear" w:color="auto" w:fill="92D050"/>
          </w:tcPr>
          <w:p w14:paraId="2111D7C3"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3.</w:t>
            </w:r>
          </w:p>
        </w:tc>
        <w:tc>
          <w:tcPr>
            <w:tcW w:w="2980" w:type="dxa"/>
            <w:shd w:val="clear" w:color="auto" w:fill="auto"/>
          </w:tcPr>
          <w:p w14:paraId="448F091D"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środki transportu pionowego i poziomego oraz transportowane materiały i produkty</w:t>
            </w:r>
          </w:p>
        </w:tc>
        <w:tc>
          <w:tcPr>
            <w:tcW w:w="5152" w:type="dxa"/>
            <w:shd w:val="clear" w:color="auto" w:fill="auto"/>
          </w:tcPr>
          <w:p w14:paraId="3E5D7CFF"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Środki transportowe (samochody, ciągniki, żurawie hydrauliczne, wciągarki i inne środki transportowe) oraz materiały i produkty podlegające przemieszczeniu (zrywane drewno, transportowane materiały </w:t>
            </w:r>
          </w:p>
        </w:tc>
      </w:tr>
      <w:tr w:rsidR="00487566" w:rsidRPr="00342250" w14:paraId="76C39302" w14:textId="77777777" w:rsidTr="003B0C2C">
        <w:tc>
          <w:tcPr>
            <w:tcW w:w="701" w:type="dxa"/>
            <w:shd w:val="clear" w:color="auto" w:fill="92D050"/>
          </w:tcPr>
          <w:p w14:paraId="0D9A2D0D"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4.</w:t>
            </w:r>
          </w:p>
        </w:tc>
        <w:tc>
          <w:tcPr>
            <w:tcW w:w="2980" w:type="dxa"/>
            <w:shd w:val="clear" w:color="auto" w:fill="auto"/>
          </w:tcPr>
          <w:p w14:paraId="6EBF0FAE"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powstałe w wyniku poślizgnięć, potknięć i upadków</w:t>
            </w:r>
          </w:p>
        </w:tc>
        <w:tc>
          <w:tcPr>
            <w:tcW w:w="5152" w:type="dxa"/>
            <w:shd w:val="clear" w:color="auto" w:fill="auto"/>
          </w:tcPr>
          <w:p w14:paraId="32C97CC0"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Trudne warunki terenowe (nierówności terenu, śliskie podłoże, zagłębienia terenu, zalegające na powierzchni terenu gałęzie i inne przedmioty utrudniające poruszanie się itp.)</w:t>
            </w:r>
          </w:p>
        </w:tc>
      </w:tr>
      <w:tr w:rsidR="00487566" w:rsidRPr="00342250" w14:paraId="14F608BB" w14:textId="77777777" w:rsidTr="003B0C2C">
        <w:tc>
          <w:tcPr>
            <w:tcW w:w="701" w:type="dxa"/>
            <w:shd w:val="clear" w:color="auto" w:fill="92D050"/>
          </w:tcPr>
          <w:p w14:paraId="47EBBBF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5.</w:t>
            </w:r>
          </w:p>
        </w:tc>
        <w:tc>
          <w:tcPr>
            <w:tcW w:w="2980" w:type="dxa"/>
            <w:shd w:val="clear" w:color="auto" w:fill="auto"/>
          </w:tcPr>
          <w:p w14:paraId="39961572"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upadkiem osób lub przedmiotów z wysokości</w:t>
            </w:r>
          </w:p>
        </w:tc>
        <w:tc>
          <w:tcPr>
            <w:tcW w:w="5152" w:type="dxa"/>
            <w:shd w:val="clear" w:color="auto" w:fill="auto"/>
          </w:tcPr>
          <w:p w14:paraId="4DC18AC8"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Upadek przedmiotów z wysokości (spadające gałęzie drzew, przewracające się drzewa, pozostałe przedmioty spadające z wysokości)</w:t>
            </w:r>
          </w:p>
        </w:tc>
      </w:tr>
      <w:tr w:rsidR="00487566" w:rsidRPr="00342250" w14:paraId="67832902" w14:textId="77777777" w:rsidTr="003B0C2C">
        <w:tc>
          <w:tcPr>
            <w:tcW w:w="701" w:type="dxa"/>
            <w:shd w:val="clear" w:color="auto" w:fill="92D050"/>
          </w:tcPr>
          <w:p w14:paraId="3DB99AE4"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6.</w:t>
            </w:r>
          </w:p>
        </w:tc>
        <w:tc>
          <w:tcPr>
            <w:tcW w:w="2980" w:type="dxa"/>
            <w:shd w:val="clear" w:color="auto" w:fill="auto"/>
          </w:tcPr>
          <w:p w14:paraId="1477F612"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wystające elementy, ostre krawędzie, chropowate powierzchnie</w:t>
            </w:r>
          </w:p>
        </w:tc>
        <w:tc>
          <w:tcPr>
            <w:tcW w:w="5152" w:type="dxa"/>
            <w:shd w:val="clear" w:color="auto" w:fill="auto"/>
          </w:tcPr>
          <w:p w14:paraId="5927D0D4"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Kontakt z mogącymi spowodować urazy wystającymi elementami, ostrymi krawędziami i chropowatymi powierzchniami maszyn i urządzeń, budynków, podłoża, drzew i krzewów lub innych elementów znajdujących się w przestrzeni, w której realizowane są prace </w:t>
            </w:r>
          </w:p>
        </w:tc>
      </w:tr>
      <w:tr w:rsidR="00487566" w:rsidRPr="00342250" w14:paraId="36260DB6" w14:textId="77777777" w:rsidTr="003B0C2C">
        <w:tc>
          <w:tcPr>
            <w:tcW w:w="701" w:type="dxa"/>
            <w:shd w:val="clear" w:color="auto" w:fill="92D050"/>
          </w:tcPr>
          <w:p w14:paraId="2DC9235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7.</w:t>
            </w:r>
          </w:p>
        </w:tc>
        <w:tc>
          <w:tcPr>
            <w:tcW w:w="2980" w:type="dxa"/>
            <w:shd w:val="clear" w:color="auto" w:fill="auto"/>
          </w:tcPr>
          <w:p w14:paraId="185CC25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Porażenie prądem elektrycznym</w:t>
            </w:r>
          </w:p>
        </w:tc>
        <w:tc>
          <w:tcPr>
            <w:tcW w:w="5152" w:type="dxa"/>
            <w:shd w:val="clear" w:color="auto" w:fill="auto"/>
          </w:tcPr>
          <w:p w14:paraId="3998CE10"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maszynami i urządzeniami wykorzystującymi prąd elektryczny, możliwy kontakt z przewodami linii energetycznych, przewodami trakcyjnymi</w:t>
            </w:r>
          </w:p>
        </w:tc>
      </w:tr>
      <w:tr w:rsidR="00487566" w:rsidRPr="00342250" w14:paraId="19EBDFCC" w14:textId="77777777" w:rsidTr="003B0C2C">
        <w:tc>
          <w:tcPr>
            <w:tcW w:w="701" w:type="dxa"/>
            <w:shd w:val="clear" w:color="auto" w:fill="92D050"/>
          </w:tcPr>
          <w:p w14:paraId="6CE8C70C"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8.</w:t>
            </w:r>
          </w:p>
        </w:tc>
        <w:tc>
          <w:tcPr>
            <w:tcW w:w="2980" w:type="dxa"/>
            <w:shd w:val="clear" w:color="auto" w:fill="auto"/>
          </w:tcPr>
          <w:p w14:paraId="3928FF96"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Działanie pola elektromagnetycznego</w:t>
            </w:r>
          </w:p>
        </w:tc>
        <w:tc>
          <w:tcPr>
            <w:tcW w:w="5152" w:type="dxa"/>
            <w:shd w:val="clear" w:color="auto" w:fill="auto"/>
          </w:tcPr>
          <w:p w14:paraId="74E1EA71"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radiotelefonami i urządzeniami komputerowymi</w:t>
            </w:r>
          </w:p>
        </w:tc>
      </w:tr>
      <w:tr w:rsidR="00487566" w:rsidRPr="00342250" w14:paraId="16DA0732" w14:textId="77777777" w:rsidTr="003B0C2C">
        <w:tc>
          <w:tcPr>
            <w:tcW w:w="701" w:type="dxa"/>
            <w:shd w:val="clear" w:color="auto" w:fill="92D050"/>
          </w:tcPr>
          <w:p w14:paraId="08F55A9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9.</w:t>
            </w:r>
          </w:p>
        </w:tc>
        <w:tc>
          <w:tcPr>
            <w:tcW w:w="2980" w:type="dxa"/>
            <w:shd w:val="clear" w:color="auto" w:fill="auto"/>
          </w:tcPr>
          <w:p w14:paraId="47A05520"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Hałas</w:t>
            </w:r>
          </w:p>
        </w:tc>
        <w:tc>
          <w:tcPr>
            <w:tcW w:w="5152" w:type="dxa"/>
            <w:shd w:val="clear" w:color="auto" w:fill="auto"/>
          </w:tcPr>
          <w:p w14:paraId="6CEE8E67"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hałasem wywoływanym przez pilarki, ciągniki i inne źródła</w:t>
            </w:r>
          </w:p>
        </w:tc>
      </w:tr>
      <w:tr w:rsidR="00487566" w:rsidRPr="00342250" w14:paraId="77278941" w14:textId="77777777" w:rsidTr="003B0C2C">
        <w:tc>
          <w:tcPr>
            <w:tcW w:w="701" w:type="dxa"/>
            <w:shd w:val="clear" w:color="auto" w:fill="92D050"/>
          </w:tcPr>
          <w:p w14:paraId="4552D3B8"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10.</w:t>
            </w:r>
          </w:p>
        </w:tc>
        <w:tc>
          <w:tcPr>
            <w:tcW w:w="2980" w:type="dxa"/>
            <w:shd w:val="clear" w:color="auto" w:fill="auto"/>
          </w:tcPr>
          <w:p w14:paraId="1591096C"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Drgania i wibracje maszyn i narzędzi</w:t>
            </w:r>
          </w:p>
        </w:tc>
        <w:tc>
          <w:tcPr>
            <w:tcW w:w="5152" w:type="dxa"/>
            <w:shd w:val="clear" w:color="auto" w:fill="auto"/>
          </w:tcPr>
          <w:p w14:paraId="782323F6"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wywołującymi drgania i wibracje pilarkami, ciągnikami i innymi maszynami oraz urządzeniami</w:t>
            </w:r>
          </w:p>
        </w:tc>
      </w:tr>
      <w:tr w:rsidR="00487566" w:rsidRPr="00342250" w14:paraId="6512B910" w14:textId="77777777" w:rsidTr="003B0C2C">
        <w:tc>
          <w:tcPr>
            <w:tcW w:w="701" w:type="dxa"/>
            <w:shd w:val="clear" w:color="auto" w:fill="92D050"/>
          </w:tcPr>
          <w:p w14:paraId="42C96A3D"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lastRenderedPageBreak/>
              <w:t>11.</w:t>
            </w:r>
          </w:p>
        </w:tc>
        <w:tc>
          <w:tcPr>
            <w:tcW w:w="2980" w:type="dxa"/>
            <w:shd w:val="clear" w:color="auto" w:fill="auto"/>
          </w:tcPr>
          <w:p w14:paraId="43FD8817"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Niewłaściwe natężenie oświetlenia, obciążenie wzroku</w:t>
            </w:r>
          </w:p>
        </w:tc>
        <w:tc>
          <w:tcPr>
            <w:tcW w:w="5152" w:type="dxa"/>
            <w:shd w:val="clear" w:color="auto" w:fill="auto"/>
          </w:tcPr>
          <w:p w14:paraId="705AC3B4"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monitorami komputerowymi, obciążenie wzroku w trakcie zrywki drewna, obsługi wielooperacyjnych maszyn do pozyskania drewna</w:t>
            </w:r>
          </w:p>
        </w:tc>
      </w:tr>
      <w:tr w:rsidR="00487566" w:rsidRPr="00342250" w14:paraId="37A1E935" w14:textId="77777777" w:rsidTr="003B0C2C">
        <w:tc>
          <w:tcPr>
            <w:tcW w:w="701" w:type="dxa"/>
            <w:shd w:val="clear" w:color="auto" w:fill="92D050"/>
          </w:tcPr>
          <w:p w14:paraId="1A529194"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12.</w:t>
            </w:r>
          </w:p>
        </w:tc>
        <w:tc>
          <w:tcPr>
            <w:tcW w:w="2980" w:type="dxa"/>
            <w:shd w:val="clear" w:color="auto" w:fill="auto"/>
          </w:tcPr>
          <w:p w14:paraId="6CA78A6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Poparzenie lub odmrożenie związane ze źródłami wysokiej lub niskiej temperatury</w:t>
            </w:r>
          </w:p>
        </w:tc>
        <w:tc>
          <w:tcPr>
            <w:tcW w:w="5152" w:type="dxa"/>
            <w:shd w:val="clear" w:color="auto" w:fill="auto"/>
          </w:tcPr>
          <w:p w14:paraId="727618CA"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Warunki atmosferyczne, wytwarzające wysoką lub niską temperaturę maszyny i urządzenia, otwarte źródła ognia, części maszyn ( tłumiki)</w:t>
            </w:r>
          </w:p>
        </w:tc>
      </w:tr>
      <w:tr w:rsidR="00487566" w:rsidRPr="00342250" w14:paraId="3EC32BFF" w14:textId="77777777" w:rsidTr="003B0C2C">
        <w:tc>
          <w:tcPr>
            <w:tcW w:w="701" w:type="dxa"/>
            <w:shd w:val="clear" w:color="auto" w:fill="92D050"/>
          </w:tcPr>
          <w:p w14:paraId="597C586A"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13.</w:t>
            </w:r>
          </w:p>
        </w:tc>
        <w:tc>
          <w:tcPr>
            <w:tcW w:w="2980" w:type="dxa"/>
            <w:shd w:val="clear" w:color="auto" w:fill="auto"/>
          </w:tcPr>
          <w:p w14:paraId="1258C343"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Zmienne warunki atmosferyczne</w:t>
            </w:r>
          </w:p>
        </w:tc>
        <w:tc>
          <w:tcPr>
            <w:tcW w:w="5152" w:type="dxa"/>
            <w:shd w:val="clear" w:color="auto" w:fill="auto"/>
          </w:tcPr>
          <w:p w14:paraId="72479244"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Realizowanie zadań w bezpośrednim kontakcie z warunkami atmosferycznymi lub negatywnymi zdarzeniami atmosferycznymi</w:t>
            </w:r>
          </w:p>
        </w:tc>
      </w:tr>
      <w:tr w:rsidR="00487566" w:rsidRPr="00342250" w14:paraId="546353AD" w14:textId="77777777" w:rsidTr="003B0C2C">
        <w:tc>
          <w:tcPr>
            <w:tcW w:w="701" w:type="dxa"/>
            <w:shd w:val="clear" w:color="auto" w:fill="92D050"/>
          </w:tcPr>
          <w:p w14:paraId="607BA1B0"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14.</w:t>
            </w:r>
          </w:p>
        </w:tc>
        <w:tc>
          <w:tcPr>
            <w:tcW w:w="2980" w:type="dxa"/>
            <w:shd w:val="clear" w:color="auto" w:fill="auto"/>
          </w:tcPr>
          <w:p w14:paraId="01F6C4C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Narażenie na środki zawierające szkodliwe substancje chemiczne</w:t>
            </w:r>
          </w:p>
        </w:tc>
        <w:tc>
          <w:tcPr>
            <w:tcW w:w="5152" w:type="dxa"/>
            <w:shd w:val="clear" w:color="auto" w:fill="auto"/>
          </w:tcPr>
          <w:p w14:paraId="72E849C7"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ze szkodliwymi substancjami wykorzystywanymi w maszynach i urządzeniach stosowanych w gospodarce leśnej oraz szkodliwymi substancjami chemicznymi mogącymi znajdować się w środowisku, w którym realizowane są prace</w:t>
            </w:r>
          </w:p>
        </w:tc>
      </w:tr>
      <w:tr w:rsidR="00487566" w:rsidRPr="00342250" w14:paraId="3AC8787B" w14:textId="77777777" w:rsidTr="003B0C2C">
        <w:tc>
          <w:tcPr>
            <w:tcW w:w="701" w:type="dxa"/>
            <w:shd w:val="clear" w:color="auto" w:fill="92D050"/>
          </w:tcPr>
          <w:p w14:paraId="018DF27C"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15.</w:t>
            </w:r>
          </w:p>
        </w:tc>
        <w:tc>
          <w:tcPr>
            <w:tcW w:w="2980" w:type="dxa"/>
            <w:shd w:val="clear" w:color="auto" w:fill="auto"/>
          </w:tcPr>
          <w:p w14:paraId="3D9C4255"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Narażenie na pyły</w:t>
            </w:r>
          </w:p>
        </w:tc>
        <w:tc>
          <w:tcPr>
            <w:tcW w:w="5152" w:type="dxa"/>
            <w:shd w:val="clear" w:color="auto" w:fill="auto"/>
          </w:tcPr>
          <w:p w14:paraId="2EA99511"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Kontakt z pyłami w trakcie pracy pilarką łańcuchową oraz w trakcie innych prac </w:t>
            </w:r>
          </w:p>
        </w:tc>
      </w:tr>
      <w:tr w:rsidR="00487566" w:rsidRPr="00342250" w14:paraId="08F9EF62" w14:textId="77777777" w:rsidTr="003B0C2C">
        <w:tc>
          <w:tcPr>
            <w:tcW w:w="701" w:type="dxa"/>
            <w:shd w:val="clear" w:color="auto" w:fill="92D050"/>
          </w:tcPr>
          <w:p w14:paraId="37C2CF37"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16.</w:t>
            </w:r>
          </w:p>
        </w:tc>
        <w:tc>
          <w:tcPr>
            <w:tcW w:w="2980" w:type="dxa"/>
            <w:shd w:val="clear" w:color="auto" w:fill="auto"/>
          </w:tcPr>
          <w:p w14:paraId="4794443A"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Drobnoustroje chorobotwórcze (ze szczególnym uwzględnieniem organizmów powodujących boreliozę, </w:t>
            </w:r>
            <w:proofErr w:type="spellStart"/>
            <w:r w:rsidRPr="00342250">
              <w:rPr>
                <w:rFonts w:ascii="Calibri" w:eastAsia="Calibri" w:hAnsi="Calibri"/>
                <w:color w:val="000000"/>
                <w:sz w:val="22"/>
                <w:szCs w:val="22"/>
                <w:lang w:eastAsia="en-US"/>
              </w:rPr>
              <w:t>odkleszczowe</w:t>
            </w:r>
            <w:proofErr w:type="spellEnd"/>
            <w:r w:rsidRPr="00342250">
              <w:rPr>
                <w:rFonts w:ascii="Calibri" w:eastAsia="Calibri" w:hAnsi="Calibri"/>
                <w:color w:val="000000"/>
                <w:sz w:val="22"/>
                <w:szCs w:val="22"/>
                <w:lang w:eastAsia="en-US"/>
              </w:rPr>
              <w:t xml:space="preserve"> zapalenie opon mózgowych i wściekliznę)</w:t>
            </w:r>
          </w:p>
        </w:tc>
        <w:tc>
          <w:tcPr>
            <w:tcW w:w="5152" w:type="dxa"/>
            <w:shd w:val="clear" w:color="auto" w:fill="auto"/>
          </w:tcPr>
          <w:p w14:paraId="1E0A3758"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w którym realizowane są zadania chorobotwórcze bakterie, wirusy i grzyby, w niektórych przypadkach przenoszone przez zwierzęta i owady</w:t>
            </w:r>
          </w:p>
        </w:tc>
      </w:tr>
      <w:tr w:rsidR="00487566" w:rsidRPr="00342250" w14:paraId="0E13C909" w14:textId="77777777" w:rsidTr="003B0C2C">
        <w:tc>
          <w:tcPr>
            <w:tcW w:w="701" w:type="dxa"/>
            <w:shd w:val="clear" w:color="auto" w:fill="92D050"/>
          </w:tcPr>
          <w:p w14:paraId="77612FDB"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17.</w:t>
            </w:r>
          </w:p>
        </w:tc>
        <w:tc>
          <w:tcPr>
            <w:tcW w:w="2980" w:type="dxa"/>
            <w:shd w:val="clear" w:color="auto" w:fill="auto"/>
          </w:tcPr>
          <w:p w14:paraId="6675D9A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Pogryzienie, użądlenie, ukąszenie, zranienie </w:t>
            </w:r>
          </w:p>
        </w:tc>
        <w:tc>
          <w:tcPr>
            <w:tcW w:w="5152" w:type="dxa"/>
            <w:shd w:val="clear" w:color="auto" w:fill="auto"/>
          </w:tcPr>
          <w:p w14:paraId="522C71BA"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Zwierzęta znajdujące się w środowisku, w którym realizowane są zadania </w:t>
            </w:r>
          </w:p>
        </w:tc>
      </w:tr>
      <w:tr w:rsidR="00487566" w:rsidRPr="00342250" w14:paraId="54EAFB56" w14:textId="77777777" w:rsidTr="003B0C2C">
        <w:tc>
          <w:tcPr>
            <w:tcW w:w="701" w:type="dxa"/>
            <w:shd w:val="clear" w:color="auto" w:fill="92D050"/>
          </w:tcPr>
          <w:p w14:paraId="2814174B"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18.</w:t>
            </w:r>
          </w:p>
        </w:tc>
        <w:tc>
          <w:tcPr>
            <w:tcW w:w="2980" w:type="dxa"/>
            <w:shd w:val="clear" w:color="auto" w:fill="auto"/>
          </w:tcPr>
          <w:p w14:paraId="25CE547E"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Agresja osób trzecich</w:t>
            </w:r>
          </w:p>
        </w:tc>
        <w:tc>
          <w:tcPr>
            <w:tcW w:w="5152" w:type="dxa"/>
            <w:shd w:val="clear" w:color="auto" w:fill="auto"/>
          </w:tcPr>
          <w:p w14:paraId="778C1ABF"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Znajdujący się w środowisku, w którym realizowane są zadania z zakresu gospodarki leśnej złodzieje drewna, kłusownicy, osoby chore psychicznie, zbiegli przestępcy itp.</w:t>
            </w:r>
          </w:p>
        </w:tc>
      </w:tr>
      <w:tr w:rsidR="00487566" w:rsidRPr="00342250" w14:paraId="04B02FCB" w14:textId="77777777" w:rsidTr="003B0C2C">
        <w:tc>
          <w:tcPr>
            <w:tcW w:w="701" w:type="dxa"/>
            <w:shd w:val="clear" w:color="auto" w:fill="92D050"/>
          </w:tcPr>
          <w:p w14:paraId="55B8E616"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19.</w:t>
            </w:r>
          </w:p>
        </w:tc>
        <w:tc>
          <w:tcPr>
            <w:tcW w:w="2980" w:type="dxa"/>
            <w:shd w:val="clear" w:color="auto" w:fill="auto"/>
          </w:tcPr>
          <w:p w14:paraId="315FBDA6"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Wymuszona pozycja pracy</w:t>
            </w:r>
          </w:p>
        </w:tc>
        <w:tc>
          <w:tcPr>
            <w:tcW w:w="5152" w:type="dxa"/>
            <w:shd w:val="clear" w:color="auto" w:fill="auto"/>
          </w:tcPr>
          <w:p w14:paraId="40FB531C"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Obsługa pilarek łańcuchowych, wielooperacyjnych maszyn do pozyskania drewna, </w:t>
            </w:r>
            <w:proofErr w:type="spellStart"/>
            <w:r w:rsidRPr="00342250">
              <w:rPr>
                <w:rFonts w:ascii="Calibri" w:eastAsia="Calibri" w:hAnsi="Calibri"/>
                <w:color w:val="000000"/>
                <w:sz w:val="22"/>
                <w:szCs w:val="22"/>
                <w:lang w:eastAsia="en-US"/>
              </w:rPr>
              <w:t>forwarderów</w:t>
            </w:r>
            <w:proofErr w:type="spellEnd"/>
            <w:r w:rsidRPr="00342250">
              <w:rPr>
                <w:rFonts w:ascii="Calibri" w:eastAsia="Calibri" w:hAnsi="Calibri"/>
                <w:color w:val="000000"/>
                <w:sz w:val="22"/>
                <w:szCs w:val="22"/>
                <w:lang w:eastAsia="en-US"/>
              </w:rPr>
              <w:t>, stanowisk z monitorami ekranowymi i inne prace związane z gospodarką leśną wymagające pozycji wymuszonej</w:t>
            </w:r>
          </w:p>
        </w:tc>
      </w:tr>
      <w:tr w:rsidR="00487566" w:rsidRPr="00342250" w14:paraId="6595BC05" w14:textId="77777777" w:rsidTr="003B0C2C">
        <w:tc>
          <w:tcPr>
            <w:tcW w:w="701" w:type="dxa"/>
            <w:shd w:val="clear" w:color="auto" w:fill="92D050"/>
          </w:tcPr>
          <w:p w14:paraId="7626315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20.</w:t>
            </w:r>
          </w:p>
        </w:tc>
        <w:tc>
          <w:tcPr>
            <w:tcW w:w="2980" w:type="dxa"/>
            <w:shd w:val="clear" w:color="auto" w:fill="auto"/>
          </w:tcPr>
          <w:p w14:paraId="323F07EF"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Przenoszenie i podnoszenie ciężarów</w:t>
            </w:r>
          </w:p>
        </w:tc>
        <w:tc>
          <w:tcPr>
            <w:tcW w:w="5152" w:type="dxa"/>
            <w:shd w:val="clear" w:color="auto" w:fill="auto"/>
          </w:tcPr>
          <w:p w14:paraId="37201A17"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Prace związane z pozyskaniem i zrywką drewna.</w:t>
            </w:r>
          </w:p>
        </w:tc>
      </w:tr>
      <w:tr w:rsidR="00487566" w:rsidRPr="00342250" w14:paraId="1E224DD2" w14:textId="77777777" w:rsidTr="003B0C2C">
        <w:tc>
          <w:tcPr>
            <w:tcW w:w="701" w:type="dxa"/>
            <w:shd w:val="clear" w:color="auto" w:fill="92D050"/>
          </w:tcPr>
          <w:p w14:paraId="3C5AF996"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21.</w:t>
            </w:r>
          </w:p>
        </w:tc>
        <w:tc>
          <w:tcPr>
            <w:tcW w:w="2980" w:type="dxa"/>
            <w:shd w:val="clear" w:color="auto" w:fill="auto"/>
          </w:tcPr>
          <w:p w14:paraId="0925CD4E"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Stres psychologiczny</w:t>
            </w:r>
          </w:p>
        </w:tc>
        <w:tc>
          <w:tcPr>
            <w:tcW w:w="5152" w:type="dxa"/>
            <w:shd w:val="clear" w:color="auto" w:fill="auto"/>
          </w:tcPr>
          <w:p w14:paraId="0A41ECB3"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Prace związane z obsługą wielooperacyjnych maszyn do pozyskania drewna, urządzeń do zrywki drewna i pozostałe prace wymagające stałego natężenia uwagi.</w:t>
            </w:r>
          </w:p>
        </w:tc>
      </w:tr>
      <w:tr w:rsidR="00487566" w:rsidRPr="00342250" w14:paraId="148D89CF" w14:textId="77777777" w:rsidTr="003B0C2C">
        <w:tc>
          <w:tcPr>
            <w:tcW w:w="701" w:type="dxa"/>
            <w:shd w:val="clear" w:color="auto" w:fill="92D050"/>
          </w:tcPr>
          <w:p w14:paraId="25102D0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lastRenderedPageBreak/>
              <w:t>22.</w:t>
            </w:r>
          </w:p>
        </w:tc>
        <w:tc>
          <w:tcPr>
            <w:tcW w:w="2980" w:type="dxa"/>
            <w:shd w:val="clear" w:color="auto" w:fill="auto"/>
          </w:tcPr>
          <w:p w14:paraId="789B76A5"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Zagrożenie pożarem lub wybuchem</w:t>
            </w:r>
          </w:p>
        </w:tc>
        <w:tc>
          <w:tcPr>
            <w:tcW w:w="5152" w:type="dxa"/>
            <w:shd w:val="clear" w:color="auto" w:fill="auto"/>
          </w:tcPr>
          <w:p w14:paraId="7F239EBC"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Praca w środowisku podatnym na powstawanie pożarów, wykorzystanie maszyn i urządzeń z napędem spalinowym, stosowanie maszyn i urządzeń wykorzystujących energię elektryczną, możliwy kontakt z łatwopalnymi środkami chemicznymi, materiałami lub substancjami, możliwy kontakt z niewypałami i niewybuchami.</w:t>
            </w:r>
          </w:p>
        </w:tc>
      </w:tr>
      <w:tr w:rsidR="00487566" w:rsidRPr="00342250" w14:paraId="70452298" w14:textId="77777777" w:rsidTr="003B0C2C">
        <w:tc>
          <w:tcPr>
            <w:tcW w:w="701" w:type="dxa"/>
            <w:shd w:val="clear" w:color="auto" w:fill="92D050"/>
          </w:tcPr>
          <w:p w14:paraId="14EC9940"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23.</w:t>
            </w:r>
          </w:p>
        </w:tc>
        <w:tc>
          <w:tcPr>
            <w:tcW w:w="2980" w:type="dxa"/>
            <w:shd w:val="clear" w:color="auto" w:fill="auto"/>
          </w:tcPr>
          <w:p w14:paraId="53BFF7ED"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Rażenie piorunem.</w:t>
            </w:r>
          </w:p>
        </w:tc>
        <w:tc>
          <w:tcPr>
            <w:tcW w:w="5152" w:type="dxa"/>
            <w:shd w:val="clear" w:color="auto" w:fill="auto"/>
          </w:tcPr>
          <w:p w14:paraId="06972A79"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Wyładowania atmosferyczne.</w:t>
            </w:r>
          </w:p>
        </w:tc>
      </w:tr>
      <w:tr w:rsidR="00487566" w:rsidRPr="00342250" w14:paraId="6C6DDD30" w14:textId="77777777" w:rsidTr="003B0C2C">
        <w:tc>
          <w:tcPr>
            <w:tcW w:w="701" w:type="dxa"/>
            <w:shd w:val="clear" w:color="auto" w:fill="92D050"/>
          </w:tcPr>
          <w:p w14:paraId="274D1BBA"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24.</w:t>
            </w:r>
          </w:p>
        </w:tc>
        <w:tc>
          <w:tcPr>
            <w:tcW w:w="2980" w:type="dxa"/>
            <w:shd w:val="clear" w:color="auto" w:fill="auto"/>
          </w:tcPr>
          <w:p w14:paraId="542D87CF"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alergenami</w:t>
            </w:r>
          </w:p>
        </w:tc>
        <w:tc>
          <w:tcPr>
            <w:tcW w:w="5152" w:type="dxa"/>
            <w:shd w:val="clear" w:color="auto" w:fill="auto"/>
          </w:tcPr>
          <w:p w14:paraId="71BFF6D9"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organizmy i substancje wywołujące reakcje alergiczne</w:t>
            </w:r>
          </w:p>
        </w:tc>
      </w:tr>
      <w:tr w:rsidR="00487566" w:rsidRPr="00342250" w14:paraId="0694635C" w14:textId="77777777" w:rsidTr="003B0C2C">
        <w:tc>
          <w:tcPr>
            <w:tcW w:w="701" w:type="dxa"/>
            <w:shd w:val="clear" w:color="auto" w:fill="92D050"/>
          </w:tcPr>
          <w:p w14:paraId="4DCB6C1A"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25.</w:t>
            </w:r>
          </w:p>
        </w:tc>
        <w:tc>
          <w:tcPr>
            <w:tcW w:w="2980" w:type="dxa"/>
            <w:shd w:val="clear" w:color="auto" w:fill="auto"/>
          </w:tcPr>
          <w:p w14:paraId="0FFF106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Poparzenia i zatrucia roślinami lub grzybami ich częściami</w:t>
            </w:r>
          </w:p>
        </w:tc>
        <w:tc>
          <w:tcPr>
            <w:tcW w:w="5152" w:type="dxa"/>
            <w:shd w:val="clear" w:color="auto" w:fill="auto"/>
          </w:tcPr>
          <w:p w14:paraId="47258CB9"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trujące lub mogące wywołać poparzenia rośliny i grzyby</w:t>
            </w:r>
          </w:p>
        </w:tc>
      </w:tr>
    </w:tbl>
    <w:p w14:paraId="05B48536" w14:textId="77777777" w:rsidR="00487566" w:rsidRPr="00342250" w:rsidRDefault="00487566" w:rsidP="00487566">
      <w:pPr>
        <w:spacing w:after="160" w:line="259" w:lineRule="auto"/>
        <w:ind w:left="720"/>
        <w:contextualSpacing/>
        <w:rPr>
          <w:rFonts w:ascii="Calibri" w:eastAsia="Calibri" w:hAnsi="Calibri"/>
          <w:sz w:val="22"/>
          <w:szCs w:val="22"/>
          <w:lang w:eastAsia="en-US"/>
        </w:rPr>
      </w:pPr>
    </w:p>
    <w:p w14:paraId="79671259" w14:textId="77777777" w:rsidR="00487566" w:rsidRDefault="00487566" w:rsidP="00487566"/>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506652C6"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00825145" w14:textId="227487A7" w:rsidR="00EC471F" w:rsidRDefault="00EC471F" w:rsidP="00225ACD">
      <w:pPr>
        <w:tabs>
          <w:tab w:val="left" w:pos="1134"/>
        </w:tabs>
        <w:suppressAutoHyphens w:val="0"/>
        <w:spacing w:before="120"/>
        <w:jc w:val="center"/>
        <w:rPr>
          <w:rFonts w:ascii="Cambria" w:hAnsi="Cambria" w:cs="Arial"/>
          <w:b/>
          <w:color w:val="000000"/>
          <w:sz w:val="22"/>
          <w:szCs w:val="22"/>
          <w:lang w:eastAsia="pl-PL"/>
        </w:rPr>
      </w:pPr>
    </w:p>
    <w:p w14:paraId="6B84E55D" w14:textId="64600201" w:rsidR="00EC471F" w:rsidRDefault="00EC471F" w:rsidP="00225ACD">
      <w:pPr>
        <w:tabs>
          <w:tab w:val="left" w:pos="1134"/>
        </w:tabs>
        <w:suppressAutoHyphens w:val="0"/>
        <w:spacing w:before="120"/>
        <w:jc w:val="center"/>
        <w:rPr>
          <w:rFonts w:ascii="Cambria" w:hAnsi="Cambria" w:cs="Arial"/>
          <w:b/>
          <w:color w:val="000000"/>
          <w:sz w:val="22"/>
          <w:szCs w:val="22"/>
          <w:lang w:eastAsia="pl-PL"/>
        </w:rPr>
      </w:pPr>
    </w:p>
    <w:tbl>
      <w:tblPr>
        <w:tblW w:w="7020" w:type="dxa"/>
        <w:tblCellMar>
          <w:left w:w="70" w:type="dxa"/>
          <w:right w:w="70" w:type="dxa"/>
        </w:tblCellMar>
        <w:tblLook w:val="04A0" w:firstRow="1" w:lastRow="0" w:firstColumn="1" w:lastColumn="0" w:noHBand="0" w:noVBand="1"/>
      </w:tblPr>
      <w:tblGrid>
        <w:gridCol w:w="5020"/>
        <w:gridCol w:w="2000"/>
      </w:tblGrid>
      <w:tr w:rsidR="006F4071" w:rsidRPr="006F4071" w14:paraId="0DA1DEA3" w14:textId="77777777" w:rsidTr="006F4071">
        <w:trPr>
          <w:trHeight w:val="25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1E7F1" w14:textId="77777777" w:rsidR="006F4071" w:rsidRPr="006F4071" w:rsidRDefault="006F4071" w:rsidP="006F4071">
            <w:pPr>
              <w:suppressAutoHyphens w:val="0"/>
              <w:rPr>
                <w:rFonts w:ascii="Arial" w:eastAsia="Times New Roman" w:hAnsi="Arial" w:cs="Arial"/>
                <w:b/>
                <w:bCs/>
                <w:lang w:eastAsia="pl-PL"/>
              </w:rPr>
            </w:pPr>
            <w:r w:rsidRPr="006F4071">
              <w:rPr>
                <w:rFonts w:ascii="Arial" w:eastAsia="Times New Roman" w:hAnsi="Arial" w:cs="Arial"/>
                <w:b/>
                <w:bCs/>
                <w:lang w:eastAsia="pl-PL"/>
              </w:rPr>
              <w:t>Hodowla Lasu</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552BD547" w14:textId="77777777" w:rsidR="006F4071" w:rsidRPr="006F4071" w:rsidRDefault="006F4071" w:rsidP="006F4071">
            <w:pPr>
              <w:suppressAutoHyphens w:val="0"/>
              <w:jc w:val="center"/>
              <w:rPr>
                <w:rFonts w:ascii="Arial" w:eastAsia="Times New Roman" w:hAnsi="Arial" w:cs="Arial"/>
                <w:b/>
                <w:bCs/>
                <w:lang w:eastAsia="pl-PL"/>
              </w:rPr>
            </w:pPr>
            <w:r w:rsidRPr="006F4071">
              <w:rPr>
                <w:rFonts w:ascii="Arial" w:eastAsia="Times New Roman" w:hAnsi="Arial" w:cs="Arial"/>
                <w:b/>
                <w:bCs/>
                <w:lang w:eastAsia="pl-PL"/>
              </w:rPr>
              <w:t>Terminy</w:t>
            </w:r>
          </w:p>
        </w:tc>
      </w:tr>
      <w:tr w:rsidR="006F4071" w:rsidRPr="006F4071" w14:paraId="27CB24C4" w14:textId="77777777" w:rsidTr="006F4071">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5E6BE87" w14:textId="77777777" w:rsidR="006F4071" w:rsidRPr="006F4071" w:rsidRDefault="006F4071" w:rsidP="006F4071">
            <w:pPr>
              <w:suppressAutoHyphens w:val="0"/>
              <w:rPr>
                <w:rFonts w:ascii="Arial" w:eastAsia="Times New Roman" w:hAnsi="Arial" w:cs="Arial"/>
                <w:lang w:eastAsia="pl-PL"/>
              </w:rPr>
            </w:pPr>
            <w:r w:rsidRPr="006F4071">
              <w:rPr>
                <w:rFonts w:ascii="Arial" w:eastAsia="Times New Roman" w:hAnsi="Arial" w:cs="Arial"/>
                <w:lang w:eastAsia="pl-PL"/>
              </w:rPr>
              <w:t>Odnowienia i poprawki</w:t>
            </w:r>
          </w:p>
        </w:tc>
        <w:tc>
          <w:tcPr>
            <w:tcW w:w="2000" w:type="dxa"/>
            <w:tcBorders>
              <w:top w:val="nil"/>
              <w:left w:val="nil"/>
              <w:bottom w:val="single" w:sz="4" w:space="0" w:color="auto"/>
              <w:right w:val="single" w:sz="4" w:space="0" w:color="auto"/>
            </w:tcBorders>
            <w:shd w:val="clear" w:color="auto" w:fill="auto"/>
            <w:noWrap/>
            <w:vAlign w:val="bottom"/>
            <w:hideMark/>
          </w:tcPr>
          <w:p w14:paraId="5027F412" w14:textId="77777777" w:rsidR="006F4071" w:rsidRPr="006F4071" w:rsidRDefault="006F4071" w:rsidP="006F4071">
            <w:pPr>
              <w:suppressAutoHyphens w:val="0"/>
              <w:jc w:val="center"/>
              <w:rPr>
                <w:rFonts w:ascii="Arial" w:eastAsia="Times New Roman" w:hAnsi="Arial" w:cs="Arial"/>
                <w:lang w:eastAsia="pl-PL"/>
              </w:rPr>
            </w:pPr>
            <w:r w:rsidRPr="006F4071">
              <w:rPr>
                <w:rFonts w:ascii="Arial" w:eastAsia="Times New Roman" w:hAnsi="Arial" w:cs="Arial"/>
                <w:lang w:eastAsia="pl-PL"/>
              </w:rPr>
              <w:t>III-IV oraz X-XI</w:t>
            </w:r>
          </w:p>
        </w:tc>
      </w:tr>
      <w:tr w:rsidR="006F4071" w:rsidRPr="006F4071" w14:paraId="47AF6611" w14:textId="77777777" w:rsidTr="006F4071">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74E3EF5" w14:textId="77777777" w:rsidR="006F4071" w:rsidRPr="006F4071" w:rsidRDefault="006F4071" w:rsidP="006F4071">
            <w:pPr>
              <w:suppressAutoHyphens w:val="0"/>
              <w:rPr>
                <w:rFonts w:ascii="Arial" w:eastAsia="Times New Roman" w:hAnsi="Arial" w:cs="Arial"/>
                <w:lang w:eastAsia="pl-PL"/>
              </w:rPr>
            </w:pPr>
            <w:r w:rsidRPr="006F4071">
              <w:rPr>
                <w:rFonts w:ascii="Arial" w:eastAsia="Times New Roman" w:hAnsi="Arial" w:cs="Arial"/>
                <w:lang w:eastAsia="pl-PL"/>
              </w:rPr>
              <w:t>Pielęgnowanie upraw</w:t>
            </w:r>
          </w:p>
        </w:tc>
        <w:tc>
          <w:tcPr>
            <w:tcW w:w="2000" w:type="dxa"/>
            <w:tcBorders>
              <w:top w:val="nil"/>
              <w:left w:val="nil"/>
              <w:bottom w:val="single" w:sz="4" w:space="0" w:color="auto"/>
              <w:right w:val="single" w:sz="4" w:space="0" w:color="auto"/>
            </w:tcBorders>
            <w:shd w:val="clear" w:color="auto" w:fill="auto"/>
            <w:noWrap/>
            <w:vAlign w:val="bottom"/>
            <w:hideMark/>
          </w:tcPr>
          <w:p w14:paraId="4FD208FB" w14:textId="77777777" w:rsidR="006F4071" w:rsidRPr="006F4071" w:rsidRDefault="006F4071" w:rsidP="006F4071">
            <w:pPr>
              <w:suppressAutoHyphens w:val="0"/>
              <w:jc w:val="center"/>
              <w:rPr>
                <w:rFonts w:ascii="Arial" w:eastAsia="Times New Roman" w:hAnsi="Arial" w:cs="Arial"/>
                <w:lang w:eastAsia="pl-PL"/>
              </w:rPr>
            </w:pPr>
            <w:r w:rsidRPr="006F4071">
              <w:rPr>
                <w:rFonts w:ascii="Arial" w:eastAsia="Times New Roman" w:hAnsi="Arial" w:cs="Arial"/>
                <w:lang w:eastAsia="pl-PL"/>
              </w:rPr>
              <w:t>V-X</w:t>
            </w:r>
          </w:p>
        </w:tc>
      </w:tr>
      <w:tr w:rsidR="006F4071" w:rsidRPr="006F4071" w14:paraId="0ECE39C8" w14:textId="77777777" w:rsidTr="006F4071">
        <w:trPr>
          <w:trHeight w:val="76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EEB6EB2" w14:textId="77777777" w:rsidR="006F4071" w:rsidRPr="006F4071" w:rsidRDefault="006F4071" w:rsidP="006F4071">
            <w:pPr>
              <w:suppressAutoHyphens w:val="0"/>
              <w:rPr>
                <w:rFonts w:ascii="Arial" w:eastAsia="Times New Roman" w:hAnsi="Arial" w:cs="Arial"/>
                <w:lang w:eastAsia="pl-PL"/>
              </w:rPr>
            </w:pPr>
            <w:r w:rsidRPr="006F4071">
              <w:rPr>
                <w:rFonts w:ascii="Arial" w:eastAsia="Times New Roman" w:hAnsi="Arial" w:cs="Arial"/>
                <w:lang w:eastAsia="pl-PL"/>
              </w:rPr>
              <w:t>Melioracje agrotechniczne</w:t>
            </w:r>
          </w:p>
        </w:tc>
        <w:tc>
          <w:tcPr>
            <w:tcW w:w="2000" w:type="dxa"/>
            <w:tcBorders>
              <w:top w:val="nil"/>
              <w:left w:val="nil"/>
              <w:bottom w:val="single" w:sz="4" w:space="0" w:color="auto"/>
              <w:right w:val="single" w:sz="4" w:space="0" w:color="auto"/>
            </w:tcBorders>
            <w:shd w:val="clear" w:color="auto" w:fill="auto"/>
            <w:vAlign w:val="bottom"/>
            <w:hideMark/>
          </w:tcPr>
          <w:p w14:paraId="1902784F" w14:textId="77777777" w:rsidR="006F4071" w:rsidRPr="006F4071" w:rsidRDefault="006F4071" w:rsidP="006F4071">
            <w:pPr>
              <w:suppressAutoHyphens w:val="0"/>
              <w:jc w:val="center"/>
              <w:rPr>
                <w:rFonts w:ascii="Arial" w:eastAsia="Times New Roman" w:hAnsi="Arial" w:cs="Arial"/>
                <w:lang w:eastAsia="pl-PL"/>
              </w:rPr>
            </w:pPr>
            <w:r w:rsidRPr="006F4071">
              <w:rPr>
                <w:rFonts w:ascii="Arial" w:eastAsia="Times New Roman" w:hAnsi="Arial" w:cs="Arial"/>
                <w:lang w:eastAsia="pl-PL"/>
              </w:rPr>
              <w:t>I-15.IV (przed sadzeniem) oraz VIII-XII</w:t>
            </w:r>
          </w:p>
        </w:tc>
      </w:tr>
      <w:tr w:rsidR="006F4071" w:rsidRPr="006F4071" w14:paraId="00E4BE5B" w14:textId="77777777" w:rsidTr="006F4071">
        <w:trPr>
          <w:trHeight w:val="1530"/>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188B6149" w14:textId="0F4BC72D" w:rsidR="006F4071" w:rsidRPr="006F4071" w:rsidRDefault="006F4071" w:rsidP="006F4071">
            <w:pPr>
              <w:suppressAutoHyphens w:val="0"/>
              <w:rPr>
                <w:rFonts w:ascii="Arial" w:eastAsia="Times New Roman" w:hAnsi="Arial" w:cs="Arial"/>
                <w:lang w:eastAsia="pl-PL"/>
              </w:rPr>
            </w:pPr>
            <w:r w:rsidRPr="006F4071">
              <w:rPr>
                <w:rFonts w:ascii="Arial" w:eastAsia="Times New Roman" w:hAnsi="Arial" w:cs="Arial"/>
                <w:lang w:eastAsia="pl-PL"/>
              </w:rPr>
              <w:t xml:space="preserve">Czyszczenia wczesne, trzebieże wczesne  czyszczenia </w:t>
            </w:r>
            <w:r w:rsidRPr="006F4071">
              <w:rPr>
                <w:rFonts w:ascii="Arial" w:eastAsia="Times New Roman" w:hAnsi="Arial" w:cs="Arial"/>
                <w:lang w:eastAsia="pl-PL"/>
              </w:rPr>
              <w:t>późne</w:t>
            </w:r>
          </w:p>
        </w:tc>
        <w:tc>
          <w:tcPr>
            <w:tcW w:w="2000" w:type="dxa"/>
            <w:tcBorders>
              <w:top w:val="nil"/>
              <w:left w:val="nil"/>
              <w:bottom w:val="single" w:sz="4" w:space="0" w:color="auto"/>
              <w:right w:val="single" w:sz="4" w:space="0" w:color="auto"/>
            </w:tcBorders>
            <w:shd w:val="clear" w:color="auto" w:fill="auto"/>
            <w:vAlign w:val="bottom"/>
            <w:hideMark/>
          </w:tcPr>
          <w:p w14:paraId="361FE6C4" w14:textId="4CA4D61E" w:rsidR="006F4071" w:rsidRPr="006F4071" w:rsidRDefault="006F4071" w:rsidP="006F4071">
            <w:pPr>
              <w:suppressAutoHyphens w:val="0"/>
              <w:jc w:val="center"/>
              <w:rPr>
                <w:rFonts w:ascii="Arial" w:eastAsia="Times New Roman" w:hAnsi="Arial" w:cs="Arial"/>
                <w:lang w:eastAsia="pl-PL"/>
              </w:rPr>
            </w:pPr>
            <w:r w:rsidRPr="006F4071">
              <w:rPr>
                <w:rFonts w:ascii="Arial" w:eastAsia="Times New Roman" w:hAnsi="Arial" w:cs="Arial"/>
                <w:lang w:eastAsia="pl-PL"/>
              </w:rPr>
              <w:t xml:space="preserve">I-IV, VII-XII w przypadku usuwania zbędnej domieszki dopuszcza się </w:t>
            </w:r>
            <w:r w:rsidRPr="006F4071">
              <w:rPr>
                <w:rFonts w:ascii="Arial" w:eastAsia="Times New Roman" w:hAnsi="Arial" w:cs="Arial"/>
                <w:lang w:eastAsia="pl-PL"/>
              </w:rPr>
              <w:t>wykonanie</w:t>
            </w:r>
            <w:r w:rsidRPr="006F4071">
              <w:rPr>
                <w:rFonts w:ascii="Arial" w:eastAsia="Times New Roman" w:hAnsi="Arial" w:cs="Arial"/>
                <w:lang w:eastAsia="pl-PL"/>
              </w:rPr>
              <w:t xml:space="preserve"> zabiegu w okresie V, VI</w:t>
            </w:r>
          </w:p>
        </w:tc>
      </w:tr>
      <w:tr w:rsidR="006F4071" w:rsidRPr="006F4071" w14:paraId="29A26AC3" w14:textId="77777777" w:rsidTr="006F4071">
        <w:trPr>
          <w:trHeight w:val="255"/>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626751AB" w14:textId="77777777" w:rsidR="006F4071" w:rsidRPr="006F4071" w:rsidRDefault="006F4071" w:rsidP="006F4071">
            <w:pPr>
              <w:suppressAutoHyphens w:val="0"/>
              <w:rPr>
                <w:rFonts w:ascii="Arial" w:eastAsia="Times New Roman" w:hAnsi="Arial" w:cs="Arial"/>
                <w:lang w:eastAsia="pl-PL"/>
              </w:rPr>
            </w:pPr>
            <w:r w:rsidRPr="006F4071">
              <w:rPr>
                <w:rFonts w:ascii="Arial" w:eastAsia="Times New Roman" w:hAnsi="Arial" w:cs="Arial"/>
                <w:lang w:eastAsia="pl-PL"/>
              </w:rPr>
              <w:t>Wyprzedzające przygotowanie gleby</w:t>
            </w:r>
          </w:p>
        </w:tc>
        <w:tc>
          <w:tcPr>
            <w:tcW w:w="2000" w:type="dxa"/>
            <w:tcBorders>
              <w:top w:val="nil"/>
              <w:left w:val="nil"/>
              <w:bottom w:val="single" w:sz="4" w:space="0" w:color="auto"/>
              <w:right w:val="single" w:sz="4" w:space="0" w:color="auto"/>
            </w:tcBorders>
            <w:shd w:val="clear" w:color="auto" w:fill="auto"/>
            <w:noWrap/>
            <w:vAlign w:val="bottom"/>
            <w:hideMark/>
          </w:tcPr>
          <w:p w14:paraId="30B4F832" w14:textId="77777777" w:rsidR="006F4071" w:rsidRPr="006F4071" w:rsidRDefault="006F4071" w:rsidP="006F4071">
            <w:pPr>
              <w:suppressAutoHyphens w:val="0"/>
              <w:jc w:val="center"/>
              <w:rPr>
                <w:rFonts w:ascii="Arial" w:eastAsia="Times New Roman" w:hAnsi="Arial" w:cs="Arial"/>
                <w:lang w:eastAsia="pl-PL"/>
              </w:rPr>
            </w:pPr>
            <w:r w:rsidRPr="006F4071">
              <w:rPr>
                <w:rFonts w:ascii="Arial" w:eastAsia="Times New Roman" w:hAnsi="Arial" w:cs="Arial"/>
                <w:lang w:eastAsia="pl-PL"/>
              </w:rPr>
              <w:t>IX-XII</w:t>
            </w:r>
          </w:p>
        </w:tc>
      </w:tr>
      <w:tr w:rsidR="006F4071" w:rsidRPr="006F4071" w14:paraId="03CF456E" w14:textId="77777777" w:rsidTr="006F4071">
        <w:trPr>
          <w:trHeight w:val="255"/>
        </w:trPr>
        <w:tc>
          <w:tcPr>
            <w:tcW w:w="5020" w:type="dxa"/>
            <w:tcBorders>
              <w:top w:val="nil"/>
              <w:left w:val="nil"/>
              <w:bottom w:val="nil"/>
              <w:right w:val="nil"/>
            </w:tcBorders>
            <w:shd w:val="clear" w:color="auto" w:fill="auto"/>
            <w:noWrap/>
            <w:vAlign w:val="bottom"/>
            <w:hideMark/>
          </w:tcPr>
          <w:p w14:paraId="56E67116" w14:textId="77777777" w:rsidR="006F4071" w:rsidRPr="006F4071" w:rsidRDefault="006F4071" w:rsidP="006F4071">
            <w:pPr>
              <w:suppressAutoHyphens w:val="0"/>
              <w:jc w:val="center"/>
              <w:rPr>
                <w:rFonts w:ascii="Arial" w:eastAsia="Times New Roman" w:hAnsi="Arial" w:cs="Arial"/>
                <w:lang w:eastAsia="pl-PL"/>
              </w:rPr>
            </w:pPr>
          </w:p>
        </w:tc>
        <w:tc>
          <w:tcPr>
            <w:tcW w:w="2000" w:type="dxa"/>
            <w:tcBorders>
              <w:top w:val="nil"/>
              <w:left w:val="nil"/>
              <w:bottom w:val="nil"/>
              <w:right w:val="nil"/>
            </w:tcBorders>
            <w:shd w:val="clear" w:color="auto" w:fill="auto"/>
            <w:noWrap/>
            <w:vAlign w:val="bottom"/>
            <w:hideMark/>
          </w:tcPr>
          <w:p w14:paraId="618D4650" w14:textId="77777777" w:rsidR="006F4071" w:rsidRPr="006F4071" w:rsidRDefault="006F4071" w:rsidP="006F4071">
            <w:pPr>
              <w:suppressAutoHyphens w:val="0"/>
              <w:rPr>
                <w:rFonts w:eastAsia="Times New Roman"/>
                <w:lang w:eastAsia="pl-PL"/>
              </w:rPr>
            </w:pPr>
          </w:p>
        </w:tc>
      </w:tr>
      <w:tr w:rsidR="006F4071" w:rsidRPr="006F4071" w14:paraId="0C893D89" w14:textId="77777777" w:rsidTr="006F4071">
        <w:trPr>
          <w:trHeight w:val="25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742AF" w14:textId="77777777" w:rsidR="006F4071" w:rsidRPr="006F4071" w:rsidRDefault="006F4071" w:rsidP="006F4071">
            <w:pPr>
              <w:suppressAutoHyphens w:val="0"/>
              <w:rPr>
                <w:rFonts w:ascii="Arial" w:eastAsia="Times New Roman" w:hAnsi="Arial" w:cs="Arial"/>
                <w:b/>
                <w:bCs/>
                <w:lang w:eastAsia="pl-PL"/>
              </w:rPr>
            </w:pPr>
            <w:r w:rsidRPr="006F4071">
              <w:rPr>
                <w:rFonts w:ascii="Arial" w:eastAsia="Times New Roman" w:hAnsi="Arial" w:cs="Arial"/>
                <w:b/>
                <w:bCs/>
                <w:lang w:eastAsia="pl-PL"/>
              </w:rPr>
              <w:t>Ochrona Lasu</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48B6167B" w14:textId="77777777" w:rsidR="006F4071" w:rsidRPr="006F4071" w:rsidRDefault="006F4071" w:rsidP="006F4071">
            <w:pPr>
              <w:suppressAutoHyphens w:val="0"/>
              <w:jc w:val="center"/>
              <w:rPr>
                <w:rFonts w:ascii="Arial" w:eastAsia="Times New Roman" w:hAnsi="Arial" w:cs="Arial"/>
                <w:b/>
                <w:bCs/>
                <w:lang w:eastAsia="pl-PL"/>
              </w:rPr>
            </w:pPr>
            <w:r w:rsidRPr="006F4071">
              <w:rPr>
                <w:rFonts w:ascii="Arial" w:eastAsia="Times New Roman" w:hAnsi="Arial" w:cs="Arial"/>
                <w:b/>
                <w:bCs/>
                <w:lang w:eastAsia="pl-PL"/>
              </w:rPr>
              <w:t>Terminy</w:t>
            </w:r>
          </w:p>
        </w:tc>
      </w:tr>
      <w:tr w:rsidR="006F4071" w:rsidRPr="006F4071" w14:paraId="30A0B3E3" w14:textId="77777777" w:rsidTr="006F4071">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80A63E0" w14:textId="77777777" w:rsidR="006F4071" w:rsidRPr="006F4071" w:rsidRDefault="006F4071" w:rsidP="006F4071">
            <w:pPr>
              <w:suppressAutoHyphens w:val="0"/>
              <w:rPr>
                <w:rFonts w:ascii="Arial" w:eastAsia="Times New Roman" w:hAnsi="Arial" w:cs="Arial"/>
                <w:lang w:eastAsia="pl-PL"/>
              </w:rPr>
            </w:pPr>
            <w:r w:rsidRPr="006F4071">
              <w:rPr>
                <w:rFonts w:ascii="Arial" w:eastAsia="Times New Roman" w:hAnsi="Arial" w:cs="Arial"/>
                <w:lang w:eastAsia="pl-PL"/>
              </w:rPr>
              <w:t>Grodzenie upraw</w:t>
            </w:r>
          </w:p>
        </w:tc>
        <w:tc>
          <w:tcPr>
            <w:tcW w:w="2000" w:type="dxa"/>
            <w:tcBorders>
              <w:top w:val="nil"/>
              <w:left w:val="nil"/>
              <w:bottom w:val="single" w:sz="4" w:space="0" w:color="auto"/>
              <w:right w:val="single" w:sz="4" w:space="0" w:color="auto"/>
            </w:tcBorders>
            <w:shd w:val="clear" w:color="auto" w:fill="auto"/>
            <w:noWrap/>
            <w:vAlign w:val="bottom"/>
            <w:hideMark/>
          </w:tcPr>
          <w:p w14:paraId="11A63735" w14:textId="77777777" w:rsidR="006F4071" w:rsidRPr="006F4071" w:rsidRDefault="006F4071" w:rsidP="006F4071">
            <w:pPr>
              <w:suppressAutoHyphens w:val="0"/>
              <w:jc w:val="center"/>
              <w:rPr>
                <w:rFonts w:ascii="Arial" w:eastAsia="Times New Roman" w:hAnsi="Arial" w:cs="Arial"/>
                <w:lang w:eastAsia="pl-PL"/>
              </w:rPr>
            </w:pPr>
            <w:r w:rsidRPr="006F4071">
              <w:rPr>
                <w:rFonts w:ascii="Arial" w:eastAsia="Times New Roman" w:hAnsi="Arial" w:cs="Arial"/>
                <w:lang w:eastAsia="pl-PL"/>
              </w:rPr>
              <w:t>cały rok</w:t>
            </w:r>
          </w:p>
        </w:tc>
      </w:tr>
      <w:tr w:rsidR="006F4071" w:rsidRPr="006F4071" w14:paraId="286BB8CC" w14:textId="77777777" w:rsidTr="006F4071">
        <w:trPr>
          <w:trHeight w:val="510"/>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2021D7D2" w14:textId="77777777" w:rsidR="006F4071" w:rsidRPr="006F4071" w:rsidRDefault="006F4071" w:rsidP="006F4071">
            <w:pPr>
              <w:suppressAutoHyphens w:val="0"/>
              <w:rPr>
                <w:rFonts w:ascii="Arial" w:eastAsia="Times New Roman" w:hAnsi="Arial" w:cs="Arial"/>
                <w:lang w:eastAsia="pl-PL"/>
              </w:rPr>
            </w:pPr>
            <w:r w:rsidRPr="006F4071">
              <w:rPr>
                <w:rFonts w:ascii="Arial" w:eastAsia="Times New Roman" w:hAnsi="Arial" w:cs="Arial"/>
                <w:lang w:eastAsia="pl-PL"/>
              </w:rPr>
              <w:t>Zabezpieczenie chemiczne i mechaniczne upraw przed zwierzyną</w:t>
            </w:r>
          </w:p>
        </w:tc>
        <w:tc>
          <w:tcPr>
            <w:tcW w:w="2000" w:type="dxa"/>
            <w:tcBorders>
              <w:top w:val="nil"/>
              <w:left w:val="nil"/>
              <w:bottom w:val="single" w:sz="4" w:space="0" w:color="auto"/>
              <w:right w:val="single" w:sz="4" w:space="0" w:color="auto"/>
            </w:tcBorders>
            <w:shd w:val="clear" w:color="auto" w:fill="auto"/>
            <w:noWrap/>
            <w:vAlign w:val="bottom"/>
            <w:hideMark/>
          </w:tcPr>
          <w:p w14:paraId="4D614A49" w14:textId="77777777" w:rsidR="006F4071" w:rsidRPr="006F4071" w:rsidRDefault="006F4071" w:rsidP="006F4071">
            <w:pPr>
              <w:suppressAutoHyphens w:val="0"/>
              <w:jc w:val="center"/>
              <w:rPr>
                <w:rFonts w:ascii="Arial" w:eastAsia="Times New Roman" w:hAnsi="Arial" w:cs="Arial"/>
                <w:lang w:eastAsia="pl-PL"/>
              </w:rPr>
            </w:pPr>
            <w:r w:rsidRPr="006F4071">
              <w:rPr>
                <w:rFonts w:ascii="Arial" w:eastAsia="Times New Roman" w:hAnsi="Arial" w:cs="Arial"/>
                <w:lang w:eastAsia="pl-PL"/>
              </w:rPr>
              <w:t>X-XI</w:t>
            </w:r>
          </w:p>
        </w:tc>
      </w:tr>
      <w:tr w:rsidR="006F4071" w:rsidRPr="006F4071" w14:paraId="423F7B0E" w14:textId="77777777" w:rsidTr="006F4071">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79D41A0" w14:textId="77777777" w:rsidR="006F4071" w:rsidRPr="006F4071" w:rsidRDefault="006F4071" w:rsidP="006F4071">
            <w:pPr>
              <w:suppressAutoHyphens w:val="0"/>
              <w:rPr>
                <w:rFonts w:ascii="Arial" w:eastAsia="Times New Roman" w:hAnsi="Arial" w:cs="Arial"/>
                <w:lang w:eastAsia="pl-PL"/>
              </w:rPr>
            </w:pPr>
            <w:r w:rsidRPr="006F4071">
              <w:rPr>
                <w:rFonts w:ascii="Arial" w:eastAsia="Times New Roman" w:hAnsi="Arial" w:cs="Arial"/>
                <w:lang w:eastAsia="pl-PL"/>
              </w:rPr>
              <w:t>Wykładanie pułapek klasycznych na szkodniki wtórne</w:t>
            </w:r>
          </w:p>
        </w:tc>
        <w:tc>
          <w:tcPr>
            <w:tcW w:w="2000" w:type="dxa"/>
            <w:tcBorders>
              <w:top w:val="nil"/>
              <w:left w:val="nil"/>
              <w:bottom w:val="single" w:sz="4" w:space="0" w:color="auto"/>
              <w:right w:val="single" w:sz="4" w:space="0" w:color="auto"/>
            </w:tcBorders>
            <w:shd w:val="clear" w:color="auto" w:fill="auto"/>
            <w:noWrap/>
            <w:vAlign w:val="bottom"/>
            <w:hideMark/>
          </w:tcPr>
          <w:p w14:paraId="76EB76F5" w14:textId="77777777" w:rsidR="006F4071" w:rsidRPr="006F4071" w:rsidRDefault="006F4071" w:rsidP="006F4071">
            <w:pPr>
              <w:suppressAutoHyphens w:val="0"/>
              <w:jc w:val="center"/>
              <w:rPr>
                <w:rFonts w:ascii="Arial" w:eastAsia="Times New Roman" w:hAnsi="Arial" w:cs="Arial"/>
                <w:lang w:eastAsia="pl-PL"/>
              </w:rPr>
            </w:pPr>
            <w:r w:rsidRPr="006F4071">
              <w:rPr>
                <w:rFonts w:ascii="Arial" w:eastAsia="Times New Roman" w:hAnsi="Arial" w:cs="Arial"/>
                <w:lang w:eastAsia="pl-PL"/>
              </w:rPr>
              <w:t>I-VIII (zgodnie z IOL)</w:t>
            </w:r>
          </w:p>
        </w:tc>
      </w:tr>
      <w:tr w:rsidR="006F4071" w:rsidRPr="006F4071" w14:paraId="222F0AA7" w14:textId="77777777" w:rsidTr="006F4071">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860B137" w14:textId="77777777" w:rsidR="006F4071" w:rsidRPr="006F4071" w:rsidRDefault="006F4071" w:rsidP="006F4071">
            <w:pPr>
              <w:suppressAutoHyphens w:val="0"/>
              <w:rPr>
                <w:rFonts w:ascii="Arial" w:eastAsia="Times New Roman" w:hAnsi="Arial" w:cs="Arial"/>
                <w:lang w:eastAsia="pl-PL"/>
              </w:rPr>
            </w:pPr>
            <w:r w:rsidRPr="006F4071">
              <w:rPr>
                <w:rFonts w:ascii="Arial" w:eastAsia="Times New Roman" w:hAnsi="Arial" w:cs="Arial"/>
                <w:lang w:eastAsia="pl-PL"/>
              </w:rPr>
              <w:t>Korowanie surowca drzewnego</w:t>
            </w:r>
          </w:p>
        </w:tc>
        <w:tc>
          <w:tcPr>
            <w:tcW w:w="2000" w:type="dxa"/>
            <w:tcBorders>
              <w:top w:val="nil"/>
              <w:left w:val="nil"/>
              <w:bottom w:val="single" w:sz="4" w:space="0" w:color="auto"/>
              <w:right w:val="single" w:sz="4" w:space="0" w:color="auto"/>
            </w:tcBorders>
            <w:shd w:val="clear" w:color="auto" w:fill="auto"/>
            <w:noWrap/>
            <w:vAlign w:val="bottom"/>
            <w:hideMark/>
          </w:tcPr>
          <w:p w14:paraId="507B3863" w14:textId="77777777" w:rsidR="006F4071" w:rsidRPr="006F4071" w:rsidRDefault="006F4071" w:rsidP="006F4071">
            <w:pPr>
              <w:suppressAutoHyphens w:val="0"/>
              <w:jc w:val="center"/>
              <w:rPr>
                <w:rFonts w:ascii="Arial" w:eastAsia="Times New Roman" w:hAnsi="Arial" w:cs="Arial"/>
                <w:lang w:eastAsia="pl-PL"/>
              </w:rPr>
            </w:pPr>
            <w:r w:rsidRPr="006F4071">
              <w:rPr>
                <w:rFonts w:ascii="Arial" w:eastAsia="Times New Roman" w:hAnsi="Arial" w:cs="Arial"/>
                <w:lang w:eastAsia="pl-PL"/>
              </w:rPr>
              <w:t>V-VIII</w:t>
            </w:r>
          </w:p>
        </w:tc>
      </w:tr>
      <w:tr w:rsidR="006F4071" w:rsidRPr="006F4071" w14:paraId="534F3A55" w14:textId="77777777" w:rsidTr="006F4071">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1B87699" w14:textId="77777777" w:rsidR="006F4071" w:rsidRPr="006F4071" w:rsidRDefault="006F4071" w:rsidP="006F4071">
            <w:pPr>
              <w:suppressAutoHyphens w:val="0"/>
              <w:rPr>
                <w:rFonts w:ascii="Arial" w:eastAsia="Times New Roman" w:hAnsi="Arial" w:cs="Arial"/>
                <w:lang w:eastAsia="pl-PL"/>
              </w:rPr>
            </w:pPr>
            <w:r w:rsidRPr="006F4071">
              <w:rPr>
                <w:rFonts w:ascii="Arial" w:eastAsia="Times New Roman" w:hAnsi="Arial" w:cs="Arial"/>
                <w:lang w:eastAsia="pl-PL"/>
              </w:rPr>
              <w:t>Chemiczne zwalczanie szkodników wtórnych</w:t>
            </w:r>
          </w:p>
        </w:tc>
        <w:tc>
          <w:tcPr>
            <w:tcW w:w="2000" w:type="dxa"/>
            <w:tcBorders>
              <w:top w:val="nil"/>
              <w:left w:val="nil"/>
              <w:bottom w:val="single" w:sz="4" w:space="0" w:color="auto"/>
              <w:right w:val="single" w:sz="4" w:space="0" w:color="auto"/>
            </w:tcBorders>
            <w:shd w:val="clear" w:color="auto" w:fill="auto"/>
            <w:noWrap/>
            <w:vAlign w:val="bottom"/>
            <w:hideMark/>
          </w:tcPr>
          <w:p w14:paraId="1CAA7B77" w14:textId="77777777" w:rsidR="006F4071" w:rsidRPr="006F4071" w:rsidRDefault="006F4071" w:rsidP="006F4071">
            <w:pPr>
              <w:suppressAutoHyphens w:val="0"/>
              <w:jc w:val="center"/>
              <w:rPr>
                <w:rFonts w:ascii="Arial" w:eastAsia="Times New Roman" w:hAnsi="Arial" w:cs="Arial"/>
                <w:lang w:eastAsia="pl-PL"/>
              </w:rPr>
            </w:pPr>
            <w:r w:rsidRPr="006F4071">
              <w:rPr>
                <w:rFonts w:ascii="Arial" w:eastAsia="Times New Roman" w:hAnsi="Arial" w:cs="Arial"/>
                <w:lang w:eastAsia="pl-PL"/>
              </w:rPr>
              <w:t>IV-VIII</w:t>
            </w:r>
          </w:p>
        </w:tc>
      </w:tr>
      <w:tr w:rsidR="006F4071" w:rsidRPr="006F4071" w14:paraId="724DADAA" w14:textId="77777777" w:rsidTr="006F4071">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17D9EE8" w14:textId="77777777" w:rsidR="006F4071" w:rsidRPr="006F4071" w:rsidRDefault="006F4071" w:rsidP="006F4071">
            <w:pPr>
              <w:suppressAutoHyphens w:val="0"/>
              <w:rPr>
                <w:rFonts w:ascii="Arial" w:eastAsia="Times New Roman" w:hAnsi="Arial" w:cs="Arial"/>
                <w:lang w:eastAsia="pl-PL"/>
              </w:rPr>
            </w:pPr>
            <w:r w:rsidRPr="006F4071">
              <w:rPr>
                <w:rFonts w:ascii="Arial" w:eastAsia="Times New Roman" w:hAnsi="Arial" w:cs="Arial"/>
                <w:lang w:eastAsia="pl-PL"/>
              </w:rPr>
              <w:t>Palenie gałęzi - zwalczanie szkodników wtórnych</w:t>
            </w:r>
          </w:p>
        </w:tc>
        <w:tc>
          <w:tcPr>
            <w:tcW w:w="2000" w:type="dxa"/>
            <w:tcBorders>
              <w:top w:val="nil"/>
              <w:left w:val="nil"/>
              <w:bottom w:val="single" w:sz="4" w:space="0" w:color="auto"/>
              <w:right w:val="single" w:sz="4" w:space="0" w:color="auto"/>
            </w:tcBorders>
            <w:shd w:val="clear" w:color="auto" w:fill="auto"/>
            <w:noWrap/>
            <w:vAlign w:val="bottom"/>
            <w:hideMark/>
          </w:tcPr>
          <w:p w14:paraId="6B45DD74" w14:textId="77777777" w:rsidR="006F4071" w:rsidRPr="006F4071" w:rsidRDefault="006F4071" w:rsidP="006F4071">
            <w:pPr>
              <w:suppressAutoHyphens w:val="0"/>
              <w:jc w:val="center"/>
              <w:rPr>
                <w:rFonts w:ascii="Arial" w:eastAsia="Times New Roman" w:hAnsi="Arial" w:cs="Arial"/>
                <w:lang w:eastAsia="pl-PL"/>
              </w:rPr>
            </w:pPr>
            <w:r w:rsidRPr="006F4071">
              <w:rPr>
                <w:rFonts w:ascii="Arial" w:eastAsia="Times New Roman" w:hAnsi="Arial" w:cs="Arial"/>
                <w:lang w:eastAsia="pl-PL"/>
              </w:rPr>
              <w:t>I-III, X-XII</w:t>
            </w:r>
          </w:p>
        </w:tc>
      </w:tr>
      <w:tr w:rsidR="006F4071" w:rsidRPr="006F4071" w14:paraId="5BE3BE41" w14:textId="77777777" w:rsidTr="006F4071">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90C3CC8" w14:textId="77777777" w:rsidR="006F4071" w:rsidRPr="006F4071" w:rsidRDefault="006F4071" w:rsidP="006F4071">
            <w:pPr>
              <w:suppressAutoHyphens w:val="0"/>
              <w:rPr>
                <w:rFonts w:ascii="Arial" w:eastAsia="Times New Roman" w:hAnsi="Arial" w:cs="Arial"/>
                <w:lang w:eastAsia="pl-PL"/>
              </w:rPr>
            </w:pPr>
            <w:r w:rsidRPr="006F4071">
              <w:rPr>
                <w:rFonts w:ascii="Arial" w:eastAsia="Times New Roman" w:hAnsi="Arial" w:cs="Arial"/>
                <w:lang w:eastAsia="pl-PL"/>
              </w:rPr>
              <w:t xml:space="preserve">Kontrola </w:t>
            </w:r>
            <w:proofErr w:type="spellStart"/>
            <w:r w:rsidRPr="006F4071">
              <w:rPr>
                <w:rFonts w:ascii="Arial" w:eastAsia="Times New Roman" w:hAnsi="Arial" w:cs="Arial"/>
                <w:lang w:eastAsia="pl-PL"/>
              </w:rPr>
              <w:t>zapędraczenia</w:t>
            </w:r>
            <w:proofErr w:type="spellEnd"/>
            <w:r w:rsidRPr="006F4071">
              <w:rPr>
                <w:rFonts w:ascii="Arial" w:eastAsia="Times New Roman" w:hAnsi="Arial" w:cs="Arial"/>
                <w:lang w:eastAsia="pl-PL"/>
              </w:rPr>
              <w:t xml:space="preserve"> gleby</w:t>
            </w:r>
          </w:p>
        </w:tc>
        <w:tc>
          <w:tcPr>
            <w:tcW w:w="2000" w:type="dxa"/>
            <w:tcBorders>
              <w:top w:val="nil"/>
              <w:left w:val="nil"/>
              <w:bottom w:val="single" w:sz="4" w:space="0" w:color="auto"/>
              <w:right w:val="single" w:sz="4" w:space="0" w:color="auto"/>
            </w:tcBorders>
            <w:shd w:val="clear" w:color="auto" w:fill="auto"/>
            <w:noWrap/>
            <w:vAlign w:val="bottom"/>
            <w:hideMark/>
          </w:tcPr>
          <w:p w14:paraId="55849F65" w14:textId="77777777" w:rsidR="006F4071" w:rsidRPr="006F4071" w:rsidRDefault="006F4071" w:rsidP="006F4071">
            <w:pPr>
              <w:suppressAutoHyphens w:val="0"/>
              <w:jc w:val="center"/>
              <w:rPr>
                <w:rFonts w:ascii="Arial" w:eastAsia="Times New Roman" w:hAnsi="Arial" w:cs="Arial"/>
                <w:lang w:eastAsia="pl-PL"/>
              </w:rPr>
            </w:pPr>
            <w:r w:rsidRPr="006F4071">
              <w:rPr>
                <w:rFonts w:ascii="Arial" w:eastAsia="Times New Roman" w:hAnsi="Arial" w:cs="Arial"/>
                <w:lang w:eastAsia="pl-PL"/>
              </w:rPr>
              <w:t>15.VIII-IX</w:t>
            </w:r>
          </w:p>
        </w:tc>
      </w:tr>
      <w:tr w:rsidR="006F4071" w:rsidRPr="006F4071" w14:paraId="1448E5D0" w14:textId="77777777" w:rsidTr="006F4071">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B06B847" w14:textId="77777777" w:rsidR="006F4071" w:rsidRPr="006F4071" w:rsidRDefault="006F4071" w:rsidP="006F4071">
            <w:pPr>
              <w:suppressAutoHyphens w:val="0"/>
              <w:rPr>
                <w:rFonts w:ascii="Arial" w:eastAsia="Times New Roman" w:hAnsi="Arial" w:cs="Arial"/>
                <w:lang w:eastAsia="pl-PL"/>
              </w:rPr>
            </w:pPr>
            <w:r w:rsidRPr="006F4071">
              <w:rPr>
                <w:rFonts w:ascii="Arial" w:eastAsia="Times New Roman" w:hAnsi="Arial" w:cs="Arial"/>
                <w:lang w:eastAsia="pl-PL"/>
              </w:rPr>
              <w:t>Koszenie łąk</w:t>
            </w:r>
          </w:p>
        </w:tc>
        <w:tc>
          <w:tcPr>
            <w:tcW w:w="2000" w:type="dxa"/>
            <w:tcBorders>
              <w:top w:val="nil"/>
              <w:left w:val="nil"/>
              <w:bottom w:val="single" w:sz="4" w:space="0" w:color="auto"/>
              <w:right w:val="single" w:sz="4" w:space="0" w:color="auto"/>
            </w:tcBorders>
            <w:shd w:val="clear" w:color="auto" w:fill="auto"/>
            <w:noWrap/>
            <w:vAlign w:val="bottom"/>
            <w:hideMark/>
          </w:tcPr>
          <w:p w14:paraId="5BD84E83" w14:textId="77777777" w:rsidR="006F4071" w:rsidRPr="006F4071" w:rsidRDefault="006F4071" w:rsidP="006F4071">
            <w:pPr>
              <w:suppressAutoHyphens w:val="0"/>
              <w:jc w:val="center"/>
              <w:rPr>
                <w:rFonts w:ascii="Arial" w:eastAsia="Times New Roman" w:hAnsi="Arial" w:cs="Arial"/>
                <w:lang w:eastAsia="pl-PL"/>
              </w:rPr>
            </w:pPr>
            <w:r w:rsidRPr="006F4071">
              <w:rPr>
                <w:rFonts w:ascii="Arial" w:eastAsia="Times New Roman" w:hAnsi="Arial" w:cs="Arial"/>
                <w:lang w:eastAsia="pl-PL"/>
              </w:rPr>
              <w:t>VI-VII</w:t>
            </w:r>
          </w:p>
        </w:tc>
      </w:tr>
      <w:tr w:rsidR="006F4071" w:rsidRPr="006F4071" w14:paraId="65F679E6" w14:textId="77777777" w:rsidTr="006F4071">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BA51775" w14:textId="77777777" w:rsidR="006F4071" w:rsidRPr="006F4071" w:rsidRDefault="006F4071" w:rsidP="006F4071">
            <w:pPr>
              <w:suppressAutoHyphens w:val="0"/>
              <w:rPr>
                <w:rFonts w:ascii="Arial" w:eastAsia="Times New Roman" w:hAnsi="Arial" w:cs="Arial"/>
                <w:lang w:eastAsia="pl-PL"/>
              </w:rPr>
            </w:pPr>
            <w:r w:rsidRPr="006F4071">
              <w:rPr>
                <w:rFonts w:ascii="Arial" w:eastAsia="Times New Roman" w:hAnsi="Arial" w:cs="Arial"/>
                <w:lang w:eastAsia="pl-PL"/>
              </w:rPr>
              <w:t>Odkażanie dołów na sadzonki</w:t>
            </w:r>
          </w:p>
        </w:tc>
        <w:tc>
          <w:tcPr>
            <w:tcW w:w="2000" w:type="dxa"/>
            <w:tcBorders>
              <w:top w:val="nil"/>
              <w:left w:val="nil"/>
              <w:bottom w:val="single" w:sz="4" w:space="0" w:color="auto"/>
              <w:right w:val="single" w:sz="4" w:space="0" w:color="auto"/>
            </w:tcBorders>
            <w:shd w:val="clear" w:color="auto" w:fill="auto"/>
            <w:noWrap/>
            <w:vAlign w:val="bottom"/>
            <w:hideMark/>
          </w:tcPr>
          <w:p w14:paraId="1781B481" w14:textId="77777777" w:rsidR="006F4071" w:rsidRPr="006F4071" w:rsidRDefault="006F4071" w:rsidP="006F4071">
            <w:pPr>
              <w:suppressAutoHyphens w:val="0"/>
              <w:jc w:val="center"/>
              <w:rPr>
                <w:rFonts w:ascii="Arial" w:eastAsia="Times New Roman" w:hAnsi="Arial" w:cs="Arial"/>
                <w:lang w:eastAsia="pl-PL"/>
              </w:rPr>
            </w:pPr>
            <w:r w:rsidRPr="006F4071">
              <w:rPr>
                <w:rFonts w:ascii="Arial" w:eastAsia="Times New Roman" w:hAnsi="Arial" w:cs="Arial"/>
                <w:lang w:eastAsia="pl-PL"/>
              </w:rPr>
              <w:t>II-III</w:t>
            </w:r>
          </w:p>
        </w:tc>
      </w:tr>
      <w:tr w:rsidR="006F4071" w:rsidRPr="006F4071" w14:paraId="0D4B0601" w14:textId="77777777" w:rsidTr="006F4071">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BAF5FDF" w14:textId="77777777" w:rsidR="006F4071" w:rsidRPr="006F4071" w:rsidRDefault="006F4071" w:rsidP="006F4071">
            <w:pPr>
              <w:suppressAutoHyphens w:val="0"/>
              <w:rPr>
                <w:rFonts w:ascii="Arial" w:eastAsia="Times New Roman" w:hAnsi="Arial" w:cs="Arial"/>
                <w:lang w:eastAsia="pl-PL"/>
              </w:rPr>
            </w:pPr>
            <w:r w:rsidRPr="006F4071">
              <w:rPr>
                <w:rFonts w:ascii="Arial" w:eastAsia="Times New Roman" w:hAnsi="Arial" w:cs="Arial"/>
                <w:lang w:eastAsia="pl-PL"/>
              </w:rPr>
              <w:t>Wykonanie pasów p.poż.</w:t>
            </w:r>
          </w:p>
        </w:tc>
        <w:tc>
          <w:tcPr>
            <w:tcW w:w="2000" w:type="dxa"/>
            <w:tcBorders>
              <w:top w:val="nil"/>
              <w:left w:val="nil"/>
              <w:bottom w:val="single" w:sz="4" w:space="0" w:color="auto"/>
              <w:right w:val="single" w:sz="4" w:space="0" w:color="auto"/>
            </w:tcBorders>
            <w:shd w:val="clear" w:color="auto" w:fill="auto"/>
            <w:noWrap/>
            <w:vAlign w:val="bottom"/>
            <w:hideMark/>
          </w:tcPr>
          <w:p w14:paraId="51FDB664" w14:textId="77777777" w:rsidR="006F4071" w:rsidRPr="006F4071" w:rsidRDefault="006F4071" w:rsidP="006F4071">
            <w:pPr>
              <w:suppressAutoHyphens w:val="0"/>
              <w:jc w:val="center"/>
              <w:rPr>
                <w:rFonts w:ascii="Arial" w:eastAsia="Times New Roman" w:hAnsi="Arial" w:cs="Arial"/>
                <w:lang w:eastAsia="pl-PL"/>
              </w:rPr>
            </w:pPr>
            <w:r w:rsidRPr="006F4071">
              <w:rPr>
                <w:rFonts w:ascii="Arial" w:eastAsia="Times New Roman" w:hAnsi="Arial" w:cs="Arial"/>
                <w:lang w:eastAsia="pl-PL"/>
              </w:rPr>
              <w:t>II-III</w:t>
            </w:r>
          </w:p>
        </w:tc>
      </w:tr>
      <w:tr w:rsidR="006F4071" w:rsidRPr="006F4071" w14:paraId="7BC928B2" w14:textId="77777777" w:rsidTr="006F4071">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2320884" w14:textId="77777777" w:rsidR="006F4071" w:rsidRPr="006F4071" w:rsidRDefault="006F4071" w:rsidP="006F4071">
            <w:pPr>
              <w:suppressAutoHyphens w:val="0"/>
              <w:rPr>
                <w:rFonts w:ascii="Arial" w:eastAsia="Times New Roman" w:hAnsi="Arial" w:cs="Arial"/>
                <w:lang w:eastAsia="pl-PL"/>
              </w:rPr>
            </w:pPr>
            <w:r w:rsidRPr="006F4071">
              <w:rPr>
                <w:rFonts w:ascii="Arial" w:eastAsia="Times New Roman" w:hAnsi="Arial" w:cs="Arial"/>
                <w:lang w:eastAsia="pl-PL"/>
              </w:rPr>
              <w:t>Melioracje agrotechniczne w ramach O-ŚRODPRZ</w:t>
            </w:r>
          </w:p>
        </w:tc>
        <w:tc>
          <w:tcPr>
            <w:tcW w:w="2000" w:type="dxa"/>
            <w:tcBorders>
              <w:top w:val="nil"/>
              <w:left w:val="nil"/>
              <w:bottom w:val="single" w:sz="4" w:space="0" w:color="auto"/>
              <w:right w:val="single" w:sz="4" w:space="0" w:color="auto"/>
            </w:tcBorders>
            <w:shd w:val="clear" w:color="auto" w:fill="auto"/>
            <w:noWrap/>
            <w:vAlign w:val="bottom"/>
            <w:hideMark/>
          </w:tcPr>
          <w:p w14:paraId="247D739E" w14:textId="77777777" w:rsidR="006F4071" w:rsidRPr="006F4071" w:rsidRDefault="006F4071" w:rsidP="006F4071">
            <w:pPr>
              <w:suppressAutoHyphens w:val="0"/>
              <w:jc w:val="center"/>
              <w:rPr>
                <w:rFonts w:ascii="Arial" w:eastAsia="Times New Roman" w:hAnsi="Arial" w:cs="Arial"/>
                <w:lang w:eastAsia="pl-PL"/>
              </w:rPr>
            </w:pPr>
            <w:r w:rsidRPr="006F4071">
              <w:rPr>
                <w:rFonts w:ascii="Arial" w:eastAsia="Times New Roman" w:hAnsi="Arial" w:cs="Arial"/>
                <w:lang w:eastAsia="pl-PL"/>
              </w:rPr>
              <w:t>od 15 VIII do 15.II</w:t>
            </w:r>
          </w:p>
        </w:tc>
      </w:tr>
      <w:tr w:rsidR="006F4071" w:rsidRPr="006F4071" w14:paraId="6A2C5526" w14:textId="77777777" w:rsidTr="006F4071">
        <w:trPr>
          <w:trHeight w:val="255"/>
        </w:trPr>
        <w:tc>
          <w:tcPr>
            <w:tcW w:w="5020" w:type="dxa"/>
            <w:tcBorders>
              <w:top w:val="nil"/>
              <w:left w:val="single" w:sz="4" w:space="0" w:color="auto"/>
              <w:bottom w:val="nil"/>
              <w:right w:val="single" w:sz="4" w:space="0" w:color="auto"/>
            </w:tcBorders>
            <w:shd w:val="clear" w:color="auto" w:fill="auto"/>
            <w:noWrap/>
            <w:vAlign w:val="bottom"/>
            <w:hideMark/>
          </w:tcPr>
          <w:p w14:paraId="6F2B2C9F" w14:textId="77777777" w:rsidR="006F4071" w:rsidRPr="006F4071" w:rsidRDefault="006F4071" w:rsidP="006F4071">
            <w:pPr>
              <w:suppressAutoHyphens w:val="0"/>
              <w:rPr>
                <w:rFonts w:ascii="Arial" w:eastAsia="Times New Roman" w:hAnsi="Arial" w:cs="Arial"/>
                <w:lang w:eastAsia="pl-PL"/>
              </w:rPr>
            </w:pPr>
            <w:r w:rsidRPr="006F4071">
              <w:rPr>
                <w:rFonts w:ascii="Arial" w:eastAsia="Times New Roman" w:hAnsi="Arial" w:cs="Arial"/>
                <w:lang w:eastAsia="pl-PL"/>
              </w:rPr>
              <w:t xml:space="preserve">Zbieranie śmieci </w:t>
            </w:r>
          </w:p>
        </w:tc>
        <w:tc>
          <w:tcPr>
            <w:tcW w:w="2000" w:type="dxa"/>
            <w:tcBorders>
              <w:top w:val="nil"/>
              <w:left w:val="nil"/>
              <w:bottom w:val="single" w:sz="4" w:space="0" w:color="auto"/>
              <w:right w:val="single" w:sz="4" w:space="0" w:color="auto"/>
            </w:tcBorders>
            <w:shd w:val="clear" w:color="auto" w:fill="auto"/>
            <w:noWrap/>
            <w:vAlign w:val="bottom"/>
            <w:hideMark/>
          </w:tcPr>
          <w:p w14:paraId="665BC89E" w14:textId="77777777" w:rsidR="006F4071" w:rsidRPr="006F4071" w:rsidRDefault="006F4071" w:rsidP="006F4071">
            <w:pPr>
              <w:suppressAutoHyphens w:val="0"/>
              <w:jc w:val="center"/>
              <w:rPr>
                <w:rFonts w:ascii="Arial" w:eastAsia="Times New Roman" w:hAnsi="Arial" w:cs="Arial"/>
                <w:lang w:eastAsia="pl-PL"/>
              </w:rPr>
            </w:pPr>
            <w:r w:rsidRPr="006F4071">
              <w:rPr>
                <w:rFonts w:ascii="Arial" w:eastAsia="Times New Roman" w:hAnsi="Arial" w:cs="Arial"/>
                <w:lang w:eastAsia="pl-PL"/>
              </w:rPr>
              <w:t>cały rok</w:t>
            </w:r>
          </w:p>
        </w:tc>
      </w:tr>
      <w:tr w:rsidR="006F4071" w:rsidRPr="006F4071" w14:paraId="3E0F5664" w14:textId="77777777" w:rsidTr="006F4071">
        <w:trPr>
          <w:trHeight w:val="25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B8765" w14:textId="77777777" w:rsidR="006F4071" w:rsidRPr="006F4071" w:rsidRDefault="006F4071" w:rsidP="006F4071">
            <w:pPr>
              <w:suppressAutoHyphens w:val="0"/>
              <w:rPr>
                <w:rFonts w:ascii="Arial" w:eastAsia="Times New Roman" w:hAnsi="Arial" w:cs="Arial"/>
                <w:b/>
                <w:bCs/>
                <w:lang w:eastAsia="pl-PL"/>
              </w:rPr>
            </w:pPr>
            <w:r w:rsidRPr="006F4071">
              <w:rPr>
                <w:rFonts w:ascii="Arial" w:eastAsia="Times New Roman" w:hAnsi="Arial" w:cs="Arial"/>
                <w:b/>
                <w:bCs/>
                <w:lang w:eastAsia="pl-PL"/>
              </w:rPr>
              <w:t>Pozyskanie i zrywka drewna</w:t>
            </w:r>
          </w:p>
        </w:tc>
        <w:tc>
          <w:tcPr>
            <w:tcW w:w="2000" w:type="dxa"/>
            <w:tcBorders>
              <w:top w:val="nil"/>
              <w:left w:val="nil"/>
              <w:bottom w:val="single" w:sz="4" w:space="0" w:color="auto"/>
              <w:right w:val="single" w:sz="4" w:space="0" w:color="auto"/>
            </w:tcBorders>
            <w:shd w:val="clear" w:color="auto" w:fill="auto"/>
            <w:noWrap/>
            <w:vAlign w:val="bottom"/>
            <w:hideMark/>
          </w:tcPr>
          <w:p w14:paraId="3815F972" w14:textId="77777777" w:rsidR="006F4071" w:rsidRPr="006F4071" w:rsidRDefault="006F4071" w:rsidP="006F4071">
            <w:pPr>
              <w:suppressAutoHyphens w:val="0"/>
              <w:jc w:val="center"/>
              <w:rPr>
                <w:rFonts w:ascii="Arial" w:eastAsia="Times New Roman" w:hAnsi="Arial" w:cs="Arial"/>
                <w:b/>
                <w:bCs/>
                <w:lang w:eastAsia="pl-PL"/>
              </w:rPr>
            </w:pPr>
            <w:r w:rsidRPr="006F4071">
              <w:rPr>
                <w:rFonts w:ascii="Arial" w:eastAsia="Times New Roman" w:hAnsi="Arial" w:cs="Arial"/>
                <w:b/>
                <w:bCs/>
                <w:lang w:eastAsia="pl-PL"/>
              </w:rPr>
              <w:t>terminy</w:t>
            </w:r>
          </w:p>
        </w:tc>
      </w:tr>
      <w:tr w:rsidR="006F4071" w:rsidRPr="006F4071" w14:paraId="5E3A035B" w14:textId="77777777" w:rsidTr="006F4071">
        <w:trPr>
          <w:trHeight w:val="1275"/>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6D721B35" w14:textId="77777777" w:rsidR="006F4071" w:rsidRPr="006F4071" w:rsidRDefault="006F4071" w:rsidP="006F4071">
            <w:pPr>
              <w:suppressAutoHyphens w:val="0"/>
              <w:rPr>
                <w:rFonts w:ascii="Arial" w:eastAsia="Times New Roman" w:hAnsi="Arial" w:cs="Arial"/>
                <w:lang w:eastAsia="pl-PL"/>
              </w:rPr>
            </w:pPr>
            <w:r w:rsidRPr="006F4071">
              <w:rPr>
                <w:rFonts w:ascii="Arial" w:eastAsia="Times New Roman" w:hAnsi="Arial" w:cs="Arial"/>
                <w:lang w:eastAsia="pl-PL"/>
              </w:rPr>
              <w:t>Minimum wielkości rozmiaru prac z pozyskania w poszczególnych miesiącach</w:t>
            </w:r>
          </w:p>
        </w:tc>
        <w:tc>
          <w:tcPr>
            <w:tcW w:w="2000" w:type="dxa"/>
            <w:tcBorders>
              <w:top w:val="nil"/>
              <w:left w:val="nil"/>
              <w:bottom w:val="single" w:sz="4" w:space="0" w:color="auto"/>
              <w:right w:val="single" w:sz="4" w:space="0" w:color="auto"/>
            </w:tcBorders>
            <w:shd w:val="clear" w:color="auto" w:fill="auto"/>
            <w:vAlign w:val="bottom"/>
            <w:hideMark/>
          </w:tcPr>
          <w:p w14:paraId="4D8ABB23" w14:textId="77777777" w:rsidR="006F4071" w:rsidRPr="006F4071" w:rsidRDefault="006F4071" w:rsidP="006F4071">
            <w:pPr>
              <w:suppressAutoHyphens w:val="0"/>
              <w:jc w:val="center"/>
              <w:rPr>
                <w:rFonts w:ascii="Arial" w:eastAsia="Times New Roman" w:hAnsi="Arial" w:cs="Arial"/>
                <w:lang w:eastAsia="pl-PL"/>
              </w:rPr>
            </w:pPr>
            <w:r w:rsidRPr="006F4071">
              <w:rPr>
                <w:rFonts w:ascii="Arial" w:eastAsia="Times New Roman" w:hAnsi="Arial" w:cs="Arial"/>
                <w:lang w:eastAsia="pl-PL"/>
              </w:rPr>
              <w:t>od 5% do 20% ogólnej masy pozyskania drewna w zadaniu (pakiecie) w ciągu miesiąca</w:t>
            </w:r>
          </w:p>
        </w:tc>
      </w:tr>
    </w:tbl>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6D93420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B618D8" w14:textId="77777777"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lastRenderedPageBreak/>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A63E" w14:textId="77777777" w:rsidR="002E345F" w:rsidRDefault="002E345F">
      <w:r>
        <w:separator/>
      </w:r>
    </w:p>
  </w:endnote>
  <w:endnote w:type="continuationSeparator" w:id="0">
    <w:p w14:paraId="1FD55B1C" w14:textId="77777777" w:rsidR="002E345F" w:rsidRDefault="002E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E4FC" w14:textId="77777777" w:rsidR="002E345F" w:rsidRDefault="002E345F">
      <w:r>
        <w:separator/>
      </w:r>
    </w:p>
  </w:footnote>
  <w:footnote w:type="continuationSeparator" w:id="0">
    <w:p w14:paraId="74DE8D43" w14:textId="77777777" w:rsidR="002E345F" w:rsidRDefault="002E3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27"/>
    <w:lvlOverride w:ilvl="0">
      <w:startOverride w:val="1"/>
    </w:lvlOverride>
  </w:num>
  <w:num w:numId="2" w16cid:durableId="2035575281">
    <w:abstractNumId w:val="22"/>
    <w:lvlOverride w:ilvl="0">
      <w:startOverride w:val="1"/>
    </w:lvlOverride>
  </w:num>
  <w:num w:numId="3" w16cid:durableId="20124411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4"/>
    <w:lvlOverride w:ilvl="0">
      <w:startOverride w:val="1"/>
    </w:lvlOverride>
  </w:num>
  <w:num w:numId="5" w16cid:durableId="1794522278">
    <w:abstractNumId w:val="15"/>
  </w:num>
  <w:num w:numId="6" w16cid:durableId="1137601971">
    <w:abstractNumId w:val="8"/>
  </w:num>
  <w:num w:numId="7" w16cid:durableId="1312254863">
    <w:abstractNumId w:val="18"/>
  </w:num>
  <w:num w:numId="8" w16cid:durableId="938489232">
    <w:abstractNumId w:val="26"/>
  </w:num>
  <w:num w:numId="9" w16cid:durableId="970477443">
    <w:abstractNumId w:val="2"/>
  </w:num>
  <w:num w:numId="10" w16cid:durableId="627391932">
    <w:abstractNumId w:val="3"/>
  </w:num>
  <w:num w:numId="11" w16cid:durableId="180314490">
    <w:abstractNumId w:val="24"/>
  </w:num>
  <w:num w:numId="12" w16cid:durableId="100610207">
    <w:abstractNumId w:val="20"/>
  </w:num>
  <w:num w:numId="13" w16cid:durableId="1862815165">
    <w:abstractNumId w:val="6"/>
  </w:num>
  <w:num w:numId="14" w16cid:durableId="158622877">
    <w:abstractNumId w:val="23"/>
  </w:num>
  <w:num w:numId="15" w16cid:durableId="2028210496">
    <w:abstractNumId w:val="33"/>
  </w:num>
  <w:num w:numId="16" w16cid:durableId="1814906896">
    <w:abstractNumId w:val="13"/>
  </w:num>
  <w:num w:numId="17" w16cid:durableId="431555756">
    <w:abstractNumId w:val="12"/>
  </w:num>
  <w:num w:numId="18" w16cid:durableId="975379549">
    <w:abstractNumId w:val="16"/>
  </w:num>
  <w:num w:numId="19" w16cid:durableId="1411459857">
    <w:abstractNumId w:val="30"/>
  </w:num>
  <w:num w:numId="20" w16cid:durableId="1239176158">
    <w:abstractNumId w:val="11"/>
  </w:num>
  <w:num w:numId="21" w16cid:durableId="489949905">
    <w:abstractNumId w:val="17"/>
  </w:num>
  <w:num w:numId="22" w16cid:durableId="1866406991">
    <w:abstractNumId w:val="9"/>
  </w:num>
  <w:num w:numId="23" w16cid:durableId="2026712829">
    <w:abstractNumId w:val="19"/>
  </w:num>
  <w:num w:numId="24" w16cid:durableId="1014915020">
    <w:abstractNumId w:val="34"/>
  </w:num>
  <w:num w:numId="25" w16cid:durableId="765463795">
    <w:abstractNumId w:val="4"/>
  </w:num>
  <w:num w:numId="26" w16cid:durableId="1208759280">
    <w:abstractNumId w:val="28"/>
  </w:num>
  <w:num w:numId="27" w16cid:durableId="453988914">
    <w:abstractNumId w:val="31"/>
  </w:num>
  <w:num w:numId="28" w16cid:durableId="1266890703">
    <w:abstractNumId w:val="0"/>
  </w:num>
  <w:num w:numId="29" w16cid:durableId="213391453">
    <w:abstractNumId w:val="10"/>
  </w:num>
  <w:num w:numId="30" w16cid:durableId="1701978246">
    <w:abstractNumId w:val="1"/>
  </w:num>
  <w:num w:numId="31" w16cid:durableId="1791850330">
    <w:abstractNumId w:val="32"/>
  </w:num>
  <w:num w:numId="32" w16cid:durableId="2111970493">
    <w:abstractNumId w:val="25"/>
  </w:num>
  <w:num w:numId="33" w16cid:durableId="667753656">
    <w:abstractNumId w:val="5"/>
  </w:num>
  <w:num w:numId="34" w16cid:durableId="1699817479">
    <w:abstractNumId w:val="29"/>
  </w:num>
  <w:num w:numId="35" w16cid:durableId="455177843">
    <w:abstractNumId w:val="21"/>
  </w:num>
  <w:num w:numId="36" w16cid:durableId="886641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1CC"/>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345F"/>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07800"/>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566"/>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6E07"/>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4071"/>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26CA0"/>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B7D56"/>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062D"/>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19"/>
    <w:rsid w:val="00EB5DE3"/>
    <w:rsid w:val="00EB630C"/>
    <w:rsid w:val="00EB7616"/>
    <w:rsid w:val="00EC3830"/>
    <w:rsid w:val="00EC471F"/>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56"/>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3853">
      <w:bodyDiv w:val="1"/>
      <w:marLeft w:val="0"/>
      <w:marRight w:val="0"/>
      <w:marTop w:val="0"/>
      <w:marBottom w:val="0"/>
      <w:divBdr>
        <w:top w:val="none" w:sz="0" w:space="0" w:color="auto"/>
        <w:left w:val="none" w:sz="0" w:space="0" w:color="auto"/>
        <w:bottom w:val="none" w:sz="0" w:space="0" w:color="auto"/>
        <w:right w:val="none" w:sz="0" w:space="0" w:color="auto"/>
      </w:divBdr>
    </w:div>
    <w:div w:id="247274665">
      <w:bodyDiv w:val="1"/>
      <w:marLeft w:val="0"/>
      <w:marRight w:val="0"/>
      <w:marTop w:val="0"/>
      <w:marBottom w:val="0"/>
      <w:divBdr>
        <w:top w:val="none" w:sz="0" w:space="0" w:color="auto"/>
        <w:left w:val="none" w:sz="0" w:space="0" w:color="auto"/>
        <w:bottom w:val="none" w:sz="0" w:space="0" w:color="auto"/>
        <w:right w:val="none" w:sz="0" w:space="0" w:color="auto"/>
      </w:divBdr>
    </w:div>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11266</Words>
  <Characters>67597</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Agata Murawska</cp:lastModifiedBy>
  <cp:revision>6</cp:revision>
  <cp:lastPrinted>2017-05-23T11:32:00Z</cp:lastPrinted>
  <dcterms:created xsi:type="dcterms:W3CDTF">2022-10-14T10:56:00Z</dcterms:created>
  <dcterms:modified xsi:type="dcterms:W3CDTF">2023-01-18T12:04:00Z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