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CEED4B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2A9754E3" w14:textId="77777777" w:rsidR="00C448E0" w:rsidRPr="00C448E0" w:rsidRDefault="00C448E0" w:rsidP="00C448E0">
      <w:pPr>
        <w:spacing w:after="160" w:line="240" w:lineRule="auto"/>
        <w:jc w:val="center"/>
        <w:rPr>
          <w:rFonts w:asciiTheme="minorHAnsi" w:hAnsiTheme="minorHAnsi" w:cstheme="minorHAnsi"/>
          <w:b/>
          <w:bCs/>
        </w:rPr>
      </w:pPr>
      <w:bookmarkStart w:id="3" w:name="_Hlk107841529"/>
      <w:r w:rsidRPr="00C448E0">
        <w:rPr>
          <w:rFonts w:asciiTheme="minorHAnsi" w:hAnsiTheme="minorHAnsi" w:cstheme="minorHAnsi"/>
          <w:b/>
          <w:bCs/>
        </w:rPr>
        <w:t>Dąbrowa – budowa ul. Leśnej od ul. Dojazd do ul. Batorowskiej w Wysogotowie.</w:t>
      </w:r>
    </w:p>
    <w:p w14:paraId="30A49132" w14:textId="74A0FAD3" w:rsidR="008870AA" w:rsidRDefault="008870AA" w:rsidP="008870AA">
      <w:pPr>
        <w:spacing w:line="319" w:lineRule="auto"/>
        <w:jc w:val="center"/>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1333BE85"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C448E0">
        <w:rPr>
          <w:rFonts w:asciiTheme="minorHAnsi" w:hAnsiTheme="minorHAnsi" w:cstheme="minorHAnsi"/>
          <w:b/>
          <w:bCs/>
        </w:rPr>
        <w:t>15</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5E95FC5B"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697C0A">
        <w:rPr>
          <w:rFonts w:asciiTheme="minorHAnsi" w:eastAsia="Times New Roman" w:hAnsiTheme="minorHAnsi" w:cstheme="minorHAnsi"/>
          <w:b/>
          <w:bCs/>
        </w:rPr>
        <w:t>0</w:t>
      </w:r>
      <w:r w:rsidR="00D20B1F">
        <w:rPr>
          <w:rFonts w:asciiTheme="minorHAnsi" w:eastAsia="Times New Roman" w:hAnsiTheme="minorHAnsi" w:cstheme="minorHAnsi"/>
          <w:b/>
          <w:bCs/>
        </w:rPr>
        <w:t>9</w:t>
      </w:r>
      <w:r w:rsidR="00311B20" w:rsidRPr="00311B20">
        <w:rPr>
          <w:rFonts w:asciiTheme="minorHAnsi" w:eastAsia="Times New Roman" w:hAnsiTheme="minorHAnsi" w:cstheme="minorHAnsi"/>
          <w:b/>
          <w:bCs/>
        </w:rPr>
        <w:t>.</w:t>
      </w:r>
      <w:r w:rsidR="00D20B1F">
        <w:rPr>
          <w:rFonts w:asciiTheme="minorHAnsi" w:eastAsia="Times New Roman" w:hAnsiTheme="minorHAnsi" w:cstheme="minorHAnsi"/>
          <w:b/>
          <w:bCs/>
        </w:rPr>
        <w:t>13</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5"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50BD5E9" w14:textId="10B90375" w:rsidR="00CD6136" w:rsidRPr="00CD6136" w:rsidRDefault="008870AA">
          <w:pPr>
            <w:pStyle w:val="Spistreci2"/>
            <w:rPr>
              <w:rFonts w:asciiTheme="minorHAnsi" w:eastAsiaTheme="minorEastAsia" w:hAnsiTheme="minorHAnsi" w:cstheme="minorHAnsi"/>
              <w:b w:val="0"/>
              <w:bCs w:val="0"/>
              <w:noProof/>
              <w:lang w:val="pl-P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07829564" w:history="1">
            <w:r w:rsidR="00CD6136" w:rsidRPr="00CD6136">
              <w:rPr>
                <w:rStyle w:val="Hipercze"/>
                <w:rFonts w:asciiTheme="minorHAnsi" w:hAnsiTheme="minorHAnsi" w:cstheme="minorHAnsi"/>
                <w:noProof/>
              </w:rPr>
              <w:t>II. Ochrona danych osobowych</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021A1A40" w14:textId="108FD7C6" w:rsidR="00CD6136" w:rsidRPr="00CD6136" w:rsidRDefault="00000000">
          <w:pPr>
            <w:pStyle w:val="Spistreci2"/>
            <w:rPr>
              <w:rFonts w:asciiTheme="minorHAnsi" w:eastAsiaTheme="minorEastAsia" w:hAnsiTheme="minorHAnsi" w:cstheme="minorHAnsi"/>
              <w:b w:val="0"/>
              <w:bCs w:val="0"/>
              <w:noProof/>
              <w:lang w:val="pl-PL"/>
            </w:rPr>
          </w:pPr>
          <w:hyperlink w:anchor="_Toc107829565" w:history="1">
            <w:r w:rsidR="00CD6136" w:rsidRPr="00CD6136">
              <w:rPr>
                <w:rStyle w:val="Hipercze"/>
                <w:rFonts w:asciiTheme="minorHAnsi" w:hAnsiTheme="minorHAnsi" w:cstheme="minorHAnsi"/>
                <w:noProof/>
              </w:rPr>
              <w:t>III. Tryb udzielania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4</w:t>
            </w:r>
            <w:r w:rsidR="00CD6136" w:rsidRPr="00CD6136">
              <w:rPr>
                <w:rFonts w:asciiTheme="minorHAnsi" w:hAnsiTheme="minorHAnsi" w:cstheme="minorHAnsi"/>
                <w:noProof/>
                <w:webHidden/>
              </w:rPr>
              <w:fldChar w:fldCharType="end"/>
            </w:r>
          </w:hyperlink>
        </w:p>
        <w:p w14:paraId="3E6DAB1E" w14:textId="5F6B17C5" w:rsidR="00CD6136" w:rsidRPr="00CD6136" w:rsidRDefault="00000000">
          <w:pPr>
            <w:pStyle w:val="Spistreci2"/>
            <w:rPr>
              <w:rFonts w:asciiTheme="minorHAnsi" w:eastAsiaTheme="minorEastAsia" w:hAnsiTheme="minorHAnsi" w:cstheme="minorHAnsi"/>
              <w:b w:val="0"/>
              <w:bCs w:val="0"/>
              <w:noProof/>
              <w:lang w:val="pl-PL"/>
            </w:rPr>
          </w:pPr>
          <w:hyperlink w:anchor="_Toc107829566" w:history="1">
            <w:r w:rsidR="00CD6136" w:rsidRPr="00CD6136">
              <w:rPr>
                <w:rStyle w:val="Hipercze"/>
                <w:rFonts w:asciiTheme="minorHAnsi" w:hAnsiTheme="minorHAnsi" w:cstheme="minorHAnsi"/>
                <w:noProof/>
              </w:rPr>
              <w:t>IV. Opis przedmiotu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5</w:t>
            </w:r>
            <w:r w:rsidR="00CD6136" w:rsidRPr="00CD6136">
              <w:rPr>
                <w:rFonts w:asciiTheme="minorHAnsi" w:hAnsiTheme="minorHAnsi" w:cstheme="minorHAnsi"/>
                <w:noProof/>
                <w:webHidden/>
              </w:rPr>
              <w:fldChar w:fldCharType="end"/>
            </w:r>
          </w:hyperlink>
        </w:p>
        <w:p w14:paraId="104A7BA4" w14:textId="6B14D223" w:rsidR="00CD6136" w:rsidRPr="00CD6136" w:rsidRDefault="00000000">
          <w:pPr>
            <w:pStyle w:val="Spistreci2"/>
            <w:rPr>
              <w:rFonts w:asciiTheme="minorHAnsi" w:eastAsiaTheme="minorEastAsia" w:hAnsiTheme="minorHAnsi" w:cstheme="minorHAnsi"/>
              <w:b w:val="0"/>
              <w:bCs w:val="0"/>
              <w:noProof/>
              <w:lang w:val="pl-PL"/>
            </w:rPr>
          </w:pPr>
          <w:hyperlink w:anchor="_Toc107829567" w:history="1">
            <w:r w:rsidR="00CD6136" w:rsidRPr="00CD6136">
              <w:rPr>
                <w:rStyle w:val="Hipercze"/>
                <w:rFonts w:asciiTheme="minorHAnsi" w:hAnsiTheme="minorHAnsi" w:cstheme="minorHAnsi"/>
                <w:noProof/>
              </w:rPr>
              <w:t>V. Wizja lokalna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6</w:t>
            </w:r>
            <w:r w:rsidR="00CD6136" w:rsidRPr="00CD6136">
              <w:rPr>
                <w:rFonts w:asciiTheme="minorHAnsi" w:hAnsiTheme="minorHAnsi" w:cstheme="minorHAnsi"/>
                <w:noProof/>
                <w:webHidden/>
              </w:rPr>
              <w:fldChar w:fldCharType="end"/>
            </w:r>
          </w:hyperlink>
        </w:p>
        <w:p w14:paraId="1475EF9D" w14:textId="42905D59" w:rsidR="00CD6136" w:rsidRPr="00CD6136" w:rsidRDefault="00000000">
          <w:pPr>
            <w:pStyle w:val="Spistreci2"/>
            <w:rPr>
              <w:rFonts w:asciiTheme="minorHAnsi" w:eastAsiaTheme="minorEastAsia" w:hAnsiTheme="minorHAnsi" w:cstheme="minorHAnsi"/>
              <w:b w:val="0"/>
              <w:bCs w:val="0"/>
              <w:noProof/>
              <w:lang w:val="pl-PL"/>
            </w:rPr>
          </w:pPr>
          <w:hyperlink w:anchor="_Toc107829568" w:history="1">
            <w:r w:rsidR="00CD6136" w:rsidRPr="00CD6136">
              <w:rPr>
                <w:rStyle w:val="Hipercze"/>
                <w:rFonts w:asciiTheme="minorHAnsi" w:hAnsiTheme="minorHAnsi" w:cstheme="minorHAnsi"/>
                <w:noProof/>
              </w:rPr>
              <w:t>VI. Podwykonawstwo</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0B7613E2" w14:textId="1131C4BD" w:rsidR="00CD6136" w:rsidRPr="00CD6136" w:rsidRDefault="00000000">
          <w:pPr>
            <w:pStyle w:val="Spistreci2"/>
            <w:rPr>
              <w:rFonts w:asciiTheme="minorHAnsi" w:eastAsiaTheme="minorEastAsia" w:hAnsiTheme="minorHAnsi" w:cstheme="minorHAnsi"/>
              <w:b w:val="0"/>
              <w:bCs w:val="0"/>
              <w:noProof/>
              <w:lang w:val="pl-PL"/>
            </w:rPr>
          </w:pPr>
          <w:hyperlink w:anchor="_Toc107829569" w:history="1">
            <w:r w:rsidR="00CD6136" w:rsidRPr="00CD6136">
              <w:rPr>
                <w:rStyle w:val="Hipercze"/>
                <w:rFonts w:asciiTheme="minorHAnsi" w:hAnsiTheme="minorHAnsi" w:cstheme="minorHAnsi"/>
                <w:noProof/>
              </w:rPr>
              <w:t>VIII. Warunki udziału w postępowaniu</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4BE58145" w14:textId="09DABFEF" w:rsidR="00CD6136" w:rsidRPr="00CD6136" w:rsidRDefault="00000000">
          <w:pPr>
            <w:pStyle w:val="Spistreci2"/>
            <w:rPr>
              <w:rFonts w:asciiTheme="minorHAnsi" w:eastAsiaTheme="minorEastAsia" w:hAnsiTheme="minorHAnsi" w:cstheme="minorHAnsi"/>
              <w:b w:val="0"/>
              <w:bCs w:val="0"/>
              <w:noProof/>
              <w:lang w:val="pl-PL"/>
            </w:rPr>
          </w:pPr>
          <w:hyperlink w:anchor="_Toc107829570" w:history="1">
            <w:r w:rsidR="00CD6136" w:rsidRPr="00CD6136">
              <w:rPr>
                <w:rStyle w:val="Hipercze"/>
                <w:rFonts w:asciiTheme="minorHAnsi" w:hAnsiTheme="minorHAnsi" w:cstheme="minorHAnsi"/>
                <w:noProof/>
              </w:rPr>
              <w:t>IX. Podstawy wykluczenia z postępowania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9</w:t>
            </w:r>
            <w:r w:rsidR="00CD6136" w:rsidRPr="00CD6136">
              <w:rPr>
                <w:rFonts w:asciiTheme="minorHAnsi" w:hAnsiTheme="minorHAnsi" w:cstheme="minorHAnsi"/>
                <w:noProof/>
                <w:webHidden/>
              </w:rPr>
              <w:fldChar w:fldCharType="end"/>
            </w:r>
          </w:hyperlink>
        </w:p>
        <w:p w14:paraId="3E9D0870" w14:textId="6BC5AA22" w:rsidR="00CD6136" w:rsidRPr="00CD6136" w:rsidRDefault="00000000">
          <w:pPr>
            <w:pStyle w:val="Spistreci2"/>
            <w:rPr>
              <w:rFonts w:asciiTheme="minorHAnsi" w:eastAsiaTheme="minorEastAsia" w:hAnsiTheme="minorHAnsi" w:cstheme="minorHAnsi"/>
              <w:b w:val="0"/>
              <w:bCs w:val="0"/>
              <w:noProof/>
              <w:lang w:val="pl-PL"/>
            </w:rPr>
          </w:pPr>
          <w:hyperlink w:anchor="_Toc107829571" w:history="1">
            <w:r w:rsidR="00CD6136" w:rsidRPr="00CD6136">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11</w:t>
            </w:r>
            <w:r w:rsidR="00CD6136" w:rsidRPr="00CD6136">
              <w:rPr>
                <w:rFonts w:asciiTheme="minorHAnsi" w:hAnsiTheme="minorHAnsi" w:cstheme="minorHAnsi"/>
                <w:noProof/>
                <w:webHidden/>
              </w:rPr>
              <w:fldChar w:fldCharType="end"/>
            </w:r>
          </w:hyperlink>
        </w:p>
        <w:p w14:paraId="29597865" w14:textId="025572C9" w:rsidR="00CD6136" w:rsidRPr="00CD6136" w:rsidRDefault="00000000">
          <w:pPr>
            <w:pStyle w:val="Spistreci2"/>
            <w:rPr>
              <w:rFonts w:asciiTheme="minorHAnsi" w:eastAsiaTheme="minorEastAsia" w:hAnsiTheme="minorHAnsi" w:cstheme="minorHAnsi"/>
              <w:b w:val="0"/>
              <w:bCs w:val="0"/>
              <w:noProof/>
              <w:lang w:val="pl-PL"/>
            </w:rPr>
          </w:pPr>
          <w:hyperlink w:anchor="_Toc107829572" w:history="1">
            <w:r w:rsidR="00CD6136" w:rsidRPr="00CD6136">
              <w:rPr>
                <w:rStyle w:val="Hipercze"/>
                <w:rFonts w:asciiTheme="minorHAnsi" w:hAnsiTheme="minorHAnsi" w:cstheme="minorHAnsi"/>
                <w:noProof/>
              </w:rPr>
              <w:t>XI. Poleganie na zasobach innych podmiotów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12</w:t>
            </w:r>
            <w:r w:rsidR="00CD6136" w:rsidRPr="00CD6136">
              <w:rPr>
                <w:rFonts w:asciiTheme="minorHAnsi" w:hAnsiTheme="minorHAnsi" w:cstheme="minorHAnsi"/>
                <w:noProof/>
                <w:webHidden/>
              </w:rPr>
              <w:fldChar w:fldCharType="end"/>
            </w:r>
          </w:hyperlink>
        </w:p>
        <w:p w14:paraId="686C8E02" w14:textId="4A156899" w:rsidR="00CD6136" w:rsidRPr="00CD6136" w:rsidRDefault="00000000">
          <w:pPr>
            <w:pStyle w:val="Spistreci2"/>
            <w:rPr>
              <w:rFonts w:asciiTheme="minorHAnsi" w:eastAsiaTheme="minorEastAsia" w:hAnsiTheme="minorHAnsi" w:cstheme="minorHAnsi"/>
              <w:b w:val="0"/>
              <w:bCs w:val="0"/>
              <w:noProof/>
              <w:lang w:val="pl-PL"/>
            </w:rPr>
          </w:pPr>
          <w:hyperlink w:anchor="_Toc107829573" w:history="1">
            <w:r w:rsidR="00CD6136" w:rsidRPr="00CD6136">
              <w:rPr>
                <w:rStyle w:val="Hipercze"/>
                <w:rFonts w:asciiTheme="minorHAnsi" w:hAnsiTheme="minorHAnsi" w:cstheme="minorHAnsi"/>
                <w:noProof/>
              </w:rPr>
              <w:t>XII. Informacja dla Wykonawców wspólnie ubiegających się o udzielenie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2790E255" w14:textId="5A05D3D5" w:rsidR="00CD6136" w:rsidRPr="00CD6136" w:rsidRDefault="00000000">
          <w:pPr>
            <w:pStyle w:val="Spistreci2"/>
            <w:rPr>
              <w:rFonts w:asciiTheme="minorHAnsi" w:eastAsiaTheme="minorEastAsia" w:hAnsiTheme="minorHAnsi" w:cstheme="minorHAnsi"/>
              <w:b w:val="0"/>
              <w:bCs w:val="0"/>
              <w:noProof/>
              <w:lang w:val="pl-PL"/>
            </w:rPr>
          </w:pPr>
          <w:hyperlink w:anchor="_Toc107829574" w:history="1">
            <w:r w:rsidR="00CD6136" w:rsidRPr="00CD6136">
              <w:rPr>
                <w:rStyle w:val="Hipercze"/>
                <w:rFonts w:asciiTheme="minorHAnsi" w:hAnsiTheme="minorHAnsi" w:cstheme="minorHAnsi"/>
                <w:noProof/>
              </w:rPr>
              <w:t>XIII. Informacje o sposobie porozumiewania się zamawiającego z Wykonawcami oraz przekazywania oświadczeń lub dokumentów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7C47972A" w14:textId="09F01B00" w:rsidR="00CD6136" w:rsidRPr="00CD6136" w:rsidRDefault="00000000">
          <w:pPr>
            <w:pStyle w:val="Spistreci2"/>
            <w:rPr>
              <w:rFonts w:asciiTheme="minorHAnsi" w:eastAsiaTheme="minorEastAsia" w:hAnsiTheme="minorHAnsi" w:cstheme="minorHAnsi"/>
              <w:b w:val="0"/>
              <w:bCs w:val="0"/>
              <w:noProof/>
              <w:lang w:val="pl-PL"/>
            </w:rPr>
          </w:pPr>
          <w:hyperlink w:anchor="_Toc107829575" w:history="1">
            <w:r w:rsidR="00CD6136" w:rsidRPr="00CD6136">
              <w:rPr>
                <w:rStyle w:val="Hipercze"/>
                <w:rFonts w:asciiTheme="minorHAnsi" w:hAnsiTheme="minorHAnsi" w:cstheme="minorHAnsi"/>
                <w:noProof/>
              </w:rPr>
              <w:t>XIV. Opis sposobu przygotowania ofert oraz dokumentów wymaganych przez Zamawiającego w SWZ</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17</w:t>
            </w:r>
            <w:r w:rsidR="00CD6136" w:rsidRPr="00CD6136">
              <w:rPr>
                <w:rFonts w:asciiTheme="minorHAnsi" w:hAnsiTheme="minorHAnsi" w:cstheme="minorHAnsi"/>
                <w:noProof/>
                <w:webHidden/>
              </w:rPr>
              <w:fldChar w:fldCharType="end"/>
            </w:r>
          </w:hyperlink>
        </w:p>
        <w:p w14:paraId="617F209D" w14:textId="06FEDCCA" w:rsidR="00CD6136" w:rsidRPr="00CD6136" w:rsidRDefault="00000000">
          <w:pPr>
            <w:pStyle w:val="Spistreci2"/>
            <w:rPr>
              <w:rFonts w:asciiTheme="minorHAnsi" w:eastAsiaTheme="minorEastAsia" w:hAnsiTheme="minorHAnsi" w:cstheme="minorHAnsi"/>
              <w:b w:val="0"/>
              <w:bCs w:val="0"/>
              <w:noProof/>
              <w:lang w:val="pl-PL"/>
            </w:rPr>
          </w:pPr>
          <w:hyperlink w:anchor="_Toc107829576" w:history="1">
            <w:r w:rsidR="00CD6136" w:rsidRPr="00CD6136">
              <w:rPr>
                <w:rStyle w:val="Hipercze"/>
                <w:rFonts w:asciiTheme="minorHAnsi" w:hAnsiTheme="minorHAnsi" w:cstheme="minorHAnsi"/>
                <w:noProof/>
              </w:rPr>
              <w:t>XV. Sposób obliczania ceny oferty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20</w:t>
            </w:r>
            <w:r w:rsidR="00CD6136" w:rsidRPr="00CD6136">
              <w:rPr>
                <w:rFonts w:asciiTheme="minorHAnsi" w:hAnsiTheme="minorHAnsi" w:cstheme="minorHAnsi"/>
                <w:noProof/>
                <w:webHidden/>
              </w:rPr>
              <w:fldChar w:fldCharType="end"/>
            </w:r>
          </w:hyperlink>
        </w:p>
        <w:p w14:paraId="651318B3" w14:textId="26CFCA32" w:rsidR="00CD6136" w:rsidRPr="00CD6136" w:rsidRDefault="00000000">
          <w:pPr>
            <w:pStyle w:val="Spistreci2"/>
            <w:rPr>
              <w:rFonts w:asciiTheme="minorHAnsi" w:eastAsiaTheme="minorEastAsia" w:hAnsiTheme="minorHAnsi" w:cstheme="minorHAnsi"/>
              <w:b w:val="0"/>
              <w:bCs w:val="0"/>
              <w:noProof/>
              <w:lang w:val="pl-PL"/>
            </w:rPr>
          </w:pPr>
          <w:hyperlink w:anchor="_Toc107829577" w:history="1">
            <w:r w:rsidR="00CD6136" w:rsidRPr="00CD6136">
              <w:rPr>
                <w:rStyle w:val="Hipercze"/>
                <w:rFonts w:asciiTheme="minorHAnsi" w:hAnsiTheme="minorHAnsi" w:cstheme="minorHAnsi"/>
                <w:noProof/>
              </w:rPr>
              <w:t>XVI. Wymagania dotyczące wadium – Zamawiający nie wymaga wniesienia wadium.</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28A779EC" w14:textId="0D109251" w:rsidR="00CD6136" w:rsidRPr="00CD6136" w:rsidRDefault="00000000">
          <w:pPr>
            <w:pStyle w:val="Spistreci2"/>
            <w:rPr>
              <w:rFonts w:asciiTheme="minorHAnsi" w:eastAsiaTheme="minorEastAsia" w:hAnsiTheme="minorHAnsi" w:cstheme="minorHAnsi"/>
              <w:b w:val="0"/>
              <w:bCs w:val="0"/>
              <w:noProof/>
              <w:lang w:val="pl-PL"/>
            </w:rPr>
          </w:pPr>
          <w:hyperlink w:anchor="_Toc107829578" w:history="1">
            <w:r w:rsidR="00CD6136" w:rsidRPr="00CD6136">
              <w:rPr>
                <w:rStyle w:val="Hipercze"/>
                <w:rFonts w:asciiTheme="minorHAnsi" w:hAnsiTheme="minorHAnsi" w:cstheme="minorHAnsi"/>
                <w:noProof/>
              </w:rPr>
              <w:t>XVII. Termin związania ofertą</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3BFD25FB" w14:textId="0DFC98A5" w:rsidR="00CD6136" w:rsidRPr="00CD6136" w:rsidRDefault="00000000">
          <w:pPr>
            <w:pStyle w:val="Spistreci2"/>
            <w:rPr>
              <w:rFonts w:asciiTheme="minorHAnsi" w:eastAsiaTheme="minorEastAsia" w:hAnsiTheme="minorHAnsi" w:cstheme="minorHAnsi"/>
              <w:b w:val="0"/>
              <w:bCs w:val="0"/>
              <w:noProof/>
              <w:lang w:val="pl-PL"/>
            </w:rPr>
          </w:pPr>
          <w:hyperlink w:anchor="_Toc107829579" w:history="1">
            <w:r w:rsidR="00CD6136" w:rsidRPr="00CD6136">
              <w:rPr>
                <w:rStyle w:val="Hipercze"/>
                <w:rFonts w:asciiTheme="minorHAnsi" w:hAnsiTheme="minorHAnsi" w:cstheme="minorHAnsi"/>
                <w:noProof/>
              </w:rPr>
              <w:t>XVIII. Miejsce, Sposób oraz termin składania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79A6E074" w14:textId="685A29EB" w:rsidR="00CD6136" w:rsidRPr="00CD6136" w:rsidRDefault="00000000">
          <w:pPr>
            <w:pStyle w:val="Spistreci2"/>
            <w:rPr>
              <w:rFonts w:asciiTheme="minorHAnsi" w:eastAsiaTheme="minorEastAsia" w:hAnsiTheme="minorHAnsi" w:cstheme="minorHAnsi"/>
              <w:b w:val="0"/>
              <w:bCs w:val="0"/>
              <w:noProof/>
              <w:lang w:val="pl-PL"/>
            </w:rPr>
          </w:pPr>
          <w:hyperlink w:anchor="_Toc107829580" w:history="1">
            <w:r w:rsidR="00CD6136" w:rsidRPr="00CD6136">
              <w:rPr>
                <w:rStyle w:val="Hipercze"/>
                <w:rFonts w:asciiTheme="minorHAnsi" w:hAnsiTheme="minorHAnsi" w:cstheme="minorHAnsi"/>
                <w:noProof/>
              </w:rPr>
              <w:t>XIX. Otwarcie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11FDACEB" w14:textId="34768369" w:rsidR="00CD6136" w:rsidRPr="00CD6136" w:rsidRDefault="00000000">
          <w:pPr>
            <w:pStyle w:val="Spistreci2"/>
            <w:rPr>
              <w:rFonts w:asciiTheme="minorHAnsi" w:eastAsiaTheme="minorEastAsia" w:hAnsiTheme="minorHAnsi" w:cstheme="minorHAnsi"/>
              <w:b w:val="0"/>
              <w:bCs w:val="0"/>
              <w:noProof/>
              <w:lang w:val="pl-PL"/>
            </w:rPr>
          </w:pPr>
          <w:hyperlink w:anchor="_Toc107829581" w:history="1">
            <w:r w:rsidR="00CD6136" w:rsidRPr="00CD6136">
              <w:rPr>
                <w:rStyle w:val="Hipercze"/>
                <w:rFonts w:asciiTheme="minorHAnsi" w:hAnsiTheme="minorHAnsi" w:cstheme="minorHAnsi"/>
                <w:noProof/>
              </w:rPr>
              <w:t>XX. Opis kryteriów oceny ofert wraz z podaniem wag tych kryteriów i sposobu oceny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4BDF60B4" w14:textId="1E1DA0BD" w:rsidR="00CD6136" w:rsidRPr="00CD6136" w:rsidRDefault="00000000">
          <w:pPr>
            <w:pStyle w:val="Spistreci2"/>
            <w:rPr>
              <w:rFonts w:asciiTheme="minorHAnsi" w:eastAsiaTheme="minorEastAsia" w:hAnsiTheme="minorHAnsi" w:cstheme="minorHAnsi"/>
              <w:b w:val="0"/>
              <w:bCs w:val="0"/>
              <w:noProof/>
              <w:lang w:val="pl-PL"/>
            </w:rPr>
          </w:pPr>
          <w:hyperlink w:anchor="_Toc107829582" w:history="1">
            <w:r w:rsidR="00CD6136" w:rsidRPr="00CD6136">
              <w:rPr>
                <w:rStyle w:val="Hipercze"/>
                <w:rFonts w:asciiTheme="minorHAnsi" w:hAnsiTheme="minorHAnsi" w:cstheme="minorHAnsi"/>
                <w:noProof/>
              </w:rPr>
              <w:t>XXI. Wymagania dotyczące zabezpieczenia należytego wykonania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538DAF1C" w14:textId="794D6430" w:rsidR="00CD6136" w:rsidRPr="00CD6136" w:rsidRDefault="00000000">
          <w:pPr>
            <w:pStyle w:val="Spistreci2"/>
            <w:rPr>
              <w:rFonts w:asciiTheme="minorHAnsi" w:eastAsiaTheme="minorEastAsia" w:hAnsiTheme="minorHAnsi" w:cstheme="minorHAnsi"/>
              <w:b w:val="0"/>
              <w:bCs w:val="0"/>
              <w:noProof/>
              <w:lang w:val="pl-PL"/>
            </w:rPr>
          </w:pPr>
          <w:hyperlink w:anchor="_Toc107829583" w:history="1">
            <w:r w:rsidR="00CD6136" w:rsidRPr="00CD6136">
              <w:rPr>
                <w:rStyle w:val="Hipercze"/>
                <w:rFonts w:asciiTheme="minorHAnsi" w:hAnsiTheme="minorHAnsi" w:cstheme="minorHAnsi"/>
                <w:noProof/>
              </w:rPr>
              <w:t>XXII. Informacje o formalnościach, jakie powinny być dopełnione po wyborze oferty w celu zawarcia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7D839737" w14:textId="6B534D9A" w:rsidR="00CD6136" w:rsidRPr="00CD6136" w:rsidRDefault="00000000">
          <w:pPr>
            <w:pStyle w:val="Spistreci2"/>
            <w:rPr>
              <w:rFonts w:asciiTheme="minorHAnsi" w:eastAsiaTheme="minorEastAsia" w:hAnsiTheme="minorHAnsi" w:cstheme="minorHAnsi"/>
              <w:b w:val="0"/>
              <w:bCs w:val="0"/>
              <w:noProof/>
              <w:lang w:val="pl-PL"/>
            </w:rPr>
          </w:pPr>
          <w:hyperlink w:anchor="_Toc107829584" w:history="1">
            <w:r w:rsidR="00CD6136" w:rsidRPr="00CD6136">
              <w:rPr>
                <w:rStyle w:val="Hipercze"/>
                <w:rFonts w:asciiTheme="minorHAnsi" w:hAnsiTheme="minorHAnsi" w:cstheme="minorHAnsi"/>
                <w:noProof/>
              </w:rPr>
              <w:t>XXIII. Informacje o treści zawieranej umowy oraz możliwości jej zmiany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3C4D1536" w14:textId="068EFD5A" w:rsidR="00CD6136" w:rsidRPr="00CD6136" w:rsidRDefault="00000000">
          <w:pPr>
            <w:pStyle w:val="Spistreci2"/>
            <w:rPr>
              <w:rFonts w:asciiTheme="minorHAnsi" w:eastAsiaTheme="minorEastAsia" w:hAnsiTheme="minorHAnsi" w:cstheme="minorHAnsi"/>
              <w:b w:val="0"/>
              <w:bCs w:val="0"/>
              <w:noProof/>
              <w:lang w:val="pl-PL"/>
            </w:rPr>
          </w:pPr>
          <w:hyperlink w:anchor="_Toc107829585" w:history="1">
            <w:r w:rsidR="00CD6136" w:rsidRPr="00CD6136">
              <w:rPr>
                <w:rStyle w:val="Hipercze"/>
                <w:rFonts w:asciiTheme="minorHAnsi" w:hAnsiTheme="minorHAnsi" w:cstheme="minorHAnsi"/>
                <w:noProof/>
              </w:rPr>
              <w:t>XXIV. Pouczenie o środkach ochrony prawnej przysługujących Wykonawcy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743398BF" w14:textId="4E129DB2" w:rsidR="00CD6136" w:rsidRPr="00CD6136" w:rsidRDefault="00000000">
          <w:pPr>
            <w:pStyle w:val="Spistreci2"/>
            <w:rPr>
              <w:rFonts w:asciiTheme="minorHAnsi" w:eastAsiaTheme="minorEastAsia" w:hAnsiTheme="minorHAnsi" w:cstheme="minorHAnsi"/>
              <w:b w:val="0"/>
              <w:bCs w:val="0"/>
              <w:noProof/>
              <w:lang w:val="pl-PL"/>
            </w:rPr>
          </w:pPr>
          <w:hyperlink w:anchor="_Toc107829586" w:history="1">
            <w:r w:rsidR="00CD6136" w:rsidRPr="00CD6136">
              <w:rPr>
                <w:rStyle w:val="Hipercze"/>
                <w:rFonts w:asciiTheme="minorHAnsi" w:hAnsiTheme="minorHAnsi" w:cstheme="minorHAnsi"/>
                <w:noProof/>
              </w:rPr>
              <w:t>XXV. Spis załączników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85093C">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65A520DB" w14:textId="7A77D94F"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0782956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565C7C2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8870AA" w:rsidRDefault="008870AA" w:rsidP="008870AA">
      <w:pPr>
        <w:spacing w:line="319" w:lineRule="auto"/>
        <w:ind w:left="709"/>
        <w:jc w:val="both"/>
        <w:rPr>
          <w:rFonts w:asciiTheme="minorHAnsi" w:hAnsiTheme="minorHAnsi" w:cstheme="minorHAnsi"/>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07829565"/>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lastRenderedPageBreak/>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07829566"/>
      <w:r w:rsidRPr="008870AA">
        <w:rPr>
          <w:rFonts w:asciiTheme="minorHAnsi" w:hAnsiTheme="minorHAnsi" w:cstheme="minorHAnsi"/>
          <w:b/>
          <w:bCs/>
          <w:sz w:val="24"/>
          <w:szCs w:val="24"/>
        </w:rPr>
        <w:t>IV. Opis przedmiotu zamówienia</w:t>
      </w:r>
      <w:bookmarkStart w:id="10" w:name="_Hlk66787009"/>
      <w:bookmarkEnd w:id="9"/>
    </w:p>
    <w:p w14:paraId="18F77983" w14:textId="64D71D87" w:rsidR="00F25413" w:rsidRPr="00931D79" w:rsidRDefault="008870AA" w:rsidP="007110FB">
      <w:pPr>
        <w:spacing w:line="319" w:lineRule="auto"/>
        <w:jc w:val="both"/>
        <w:rPr>
          <w:rFonts w:asciiTheme="minorHAnsi" w:hAnsiTheme="minorHAnsi" w:cstheme="minorHAnsi"/>
        </w:rPr>
      </w:pPr>
      <w:bookmarkStart w:id="11" w:name="_Hlk86912487"/>
      <w:r w:rsidRPr="00931D79">
        <w:rPr>
          <w:rFonts w:asciiTheme="minorHAnsi" w:hAnsiTheme="minorHAnsi" w:cstheme="minorHAnsi"/>
          <w:b/>
          <w:bCs/>
        </w:rPr>
        <w:t>1.</w:t>
      </w:r>
      <w:r w:rsidRPr="00931D79">
        <w:rPr>
          <w:rFonts w:asciiTheme="minorHAnsi" w:hAnsiTheme="minorHAnsi" w:cstheme="minorHAnsi"/>
        </w:rPr>
        <w:t xml:space="preserve"> Przedmiotem </w:t>
      </w:r>
      <w:r w:rsidR="00F25413" w:rsidRPr="00931D79">
        <w:rPr>
          <w:rFonts w:asciiTheme="minorHAnsi" w:hAnsiTheme="minorHAnsi" w:cstheme="minorHAnsi"/>
        </w:rPr>
        <w:t xml:space="preserve">niniejszego </w:t>
      </w:r>
      <w:r w:rsidRPr="00931D79">
        <w:rPr>
          <w:rFonts w:asciiTheme="minorHAnsi" w:hAnsiTheme="minorHAnsi" w:cstheme="minorHAnsi"/>
        </w:rPr>
        <w:t xml:space="preserve">zamówienia </w:t>
      </w:r>
      <w:r w:rsidR="00F25413" w:rsidRPr="00931D79">
        <w:rPr>
          <w:rFonts w:asciiTheme="minorHAnsi" w:hAnsiTheme="minorHAnsi" w:cstheme="minorHAnsi"/>
        </w:rPr>
        <w:t>jest realizacja etapu I budowy części ul. Leśnej na odcinku od km 1+189 do km 1+ 638, w następującym zakresie:</w:t>
      </w:r>
    </w:p>
    <w:p w14:paraId="6D8B153B" w14:textId="41DF0D76"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a) budowa kanalizacji deszczowej, </w:t>
      </w:r>
    </w:p>
    <w:p w14:paraId="0BBA780A" w14:textId="25144B13"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b) budowa przepustu,</w:t>
      </w:r>
    </w:p>
    <w:p w14:paraId="0B9BD800" w14:textId="1690DE43"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c) przebudowa sieci gazowej s/c,</w:t>
      </w:r>
    </w:p>
    <w:p w14:paraId="74BA2C99" w14:textId="4EAB7952"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d) przebudowa sieci wodociągowej,</w:t>
      </w:r>
    </w:p>
    <w:p w14:paraId="254DD70E" w14:textId="70856A48" w:rsidR="007110FB" w:rsidRPr="00931D79" w:rsidRDefault="007110FB" w:rsidP="00931D79">
      <w:pPr>
        <w:spacing w:line="319" w:lineRule="auto"/>
        <w:ind w:left="284" w:hanging="284"/>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e) budowa oświetlenia drogowego,</w:t>
      </w:r>
      <w:r w:rsidR="00931D79" w:rsidRPr="00931D79">
        <w:rPr>
          <w:rFonts w:asciiTheme="minorHAnsi" w:eastAsia="Times New Roman" w:hAnsiTheme="minorHAnsi" w:cstheme="minorHAnsi"/>
          <w:lang w:val="pl-PL"/>
        </w:rPr>
        <w:t xml:space="preserve"> w ramach którego należy wykonać także ułożenie kabla zasilającego oświetlenie z szafki oświetleniowej S01 znajdującej się przy skrzyżowaniu ulic Leśnej i Agrestowej,</w:t>
      </w:r>
    </w:p>
    <w:p w14:paraId="363FF619" w14:textId="51F6EF97"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f) przebudowa i zabezpieczenie sieci elektroenergetycznej bez przestawiania trasowego słupa III/1,</w:t>
      </w:r>
    </w:p>
    <w:p w14:paraId="4ED0F7E5" w14:textId="095260E1"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g) przebudowa i zabezpieczenie sieci telekomunikacyjnej,</w:t>
      </w:r>
    </w:p>
    <w:p w14:paraId="41C2EBBA" w14:textId="385B563B"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h) przebudowa przyłączy kanalizacji sanitarnej,</w:t>
      </w:r>
    </w:p>
    <w:p w14:paraId="6DDA08BF" w14:textId="2307DBA5"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i)  roboty drogowe:</w:t>
      </w:r>
    </w:p>
    <w:p w14:paraId="608E80D8" w14:textId="7F8203FB"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 roboty przygotowawcze,</w:t>
      </w:r>
    </w:p>
    <w:p w14:paraId="55F1C93E" w14:textId="39DFB97B"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 nawierzchnia z kostki brukowej betonowej (pełen zakres) wraz z podbudową (chodniki, zjazdy),</w:t>
      </w:r>
    </w:p>
    <w:p w14:paraId="37C22325" w14:textId="56DB82EB"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 betonowe obrzeża chodnikowe, krawężniki uliczne, ścieki,</w:t>
      </w:r>
    </w:p>
    <w:p w14:paraId="2DCB1131" w14:textId="3E3A460A"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 oznakowanie i urządzenia bezpieczeństwa ruchu,</w:t>
      </w:r>
    </w:p>
    <w:p w14:paraId="625F5AF7" w14:textId="5C9DD136" w:rsidR="007110FB" w:rsidRPr="00931D79" w:rsidRDefault="007110FB" w:rsidP="007110FB">
      <w:pPr>
        <w:spacing w:line="319" w:lineRule="auto"/>
        <w:jc w:val="both"/>
        <w:rPr>
          <w:rFonts w:asciiTheme="minorHAnsi" w:eastAsia="Times New Roman" w:hAnsiTheme="minorHAnsi" w:cstheme="minorHAnsi"/>
          <w:lang w:val="pl-PL"/>
        </w:rPr>
      </w:pPr>
      <w:r w:rsidRPr="00931D79">
        <w:rPr>
          <w:rFonts w:asciiTheme="minorHAnsi" w:eastAsia="Times New Roman" w:hAnsiTheme="minorHAnsi" w:cstheme="minorHAnsi"/>
          <w:lang w:val="pl-PL"/>
        </w:rPr>
        <w:t xml:space="preserve">        -/ roboty wykończeniowe.  </w:t>
      </w:r>
    </w:p>
    <w:p w14:paraId="7B9F8E96" w14:textId="47A7AB8E" w:rsidR="0089362D" w:rsidRPr="00931D79" w:rsidRDefault="0089362D" w:rsidP="007110FB">
      <w:pPr>
        <w:spacing w:line="319" w:lineRule="auto"/>
        <w:jc w:val="both"/>
        <w:rPr>
          <w:rFonts w:asciiTheme="minorHAnsi" w:hAnsiTheme="minorHAnsi" w:cstheme="minorHAnsi"/>
        </w:rPr>
      </w:pPr>
    </w:p>
    <w:p w14:paraId="2B788A3B" w14:textId="670040B8" w:rsidR="00533BC3" w:rsidRPr="00931D79" w:rsidRDefault="00533BC3" w:rsidP="003B634F">
      <w:pPr>
        <w:spacing w:line="319" w:lineRule="auto"/>
        <w:jc w:val="both"/>
        <w:rPr>
          <w:rFonts w:asciiTheme="minorHAnsi" w:eastAsia="Calibri" w:hAnsiTheme="minorHAnsi" w:cstheme="minorHAnsi"/>
          <w:kern w:val="3"/>
          <w:lang w:val="pl-PL"/>
        </w:rPr>
      </w:pPr>
      <w:r w:rsidRPr="00931D79">
        <w:rPr>
          <w:rFonts w:asciiTheme="minorHAnsi" w:eastAsia="Times New Roman" w:hAnsiTheme="minorHAnsi" w:cstheme="minorHAnsi"/>
          <w:b/>
        </w:rPr>
        <w:t xml:space="preserve">2. </w:t>
      </w:r>
      <w:r w:rsidRPr="00931D79">
        <w:rPr>
          <w:rFonts w:asciiTheme="minorHAnsi" w:eastAsia="Times New Roman" w:hAnsiTheme="minorHAnsi" w:cstheme="minorHAnsi"/>
          <w:bCs/>
        </w:rPr>
        <w:t xml:space="preserve">Zamawiający informuje, że </w:t>
      </w:r>
      <w:r w:rsidRPr="00931D79">
        <w:rPr>
          <w:rFonts w:asciiTheme="minorHAnsi" w:eastAsia="Calibri" w:hAnsiTheme="minorHAnsi" w:cstheme="minorHAnsi"/>
          <w:kern w:val="3"/>
          <w:lang w:val="pl-PL"/>
        </w:rPr>
        <w:t xml:space="preserve">część robót niezbędnych do budowy </w:t>
      </w:r>
      <w:r w:rsidRPr="00931D79">
        <w:rPr>
          <w:rFonts w:asciiTheme="minorHAnsi" w:hAnsiTheme="minorHAnsi" w:cstheme="minorHAnsi"/>
        </w:rPr>
        <w:t>ul. Leśnej od ul. Dojazd do ul. Batorowskiej w Wysogotowie,</w:t>
      </w:r>
      <w:r w:rsidRPr="00931D79">
        <w:rPr>
          <w:rFonts w:asciiTheme="minorHAnsi" w:hAnsiTheme="minorHAnsi" w:cstheme="minorHAnsi"/>
          <w:b/>
          <w:bCs/>
        </w:rPr>
        <w:t xml:space="preserve"> </w:t>
      </w:r>
      <w:r w:rsidRPr="00931D79">
        <w:rPr>
          <w:rFonts w:asciiTheme="minorHAnsi" w:eastAsia="Calibri" w:hAnsiTheme="minorHAnsi" w:cstheme="minorHAnsi"/>
          <w:kern w:val="3"/>
          <w:lang w:val="pl-PL"/>
        </w:rPr>
        <w:t>nie wchodzi w zakres niniejszego zamówienia i będzie je wykonywał podmiot zwany dalej „Partycypującym”</w:t>
      </w:r>
      <w:r w:rsidR="003D7BB7" w:rsidRPr="00931D79">
        <w:rPr>
          <w:rFonts w:asciiTheme="minorHAnsi" w:eastAsia="Calibri" w:hAnsiTheme="minorHAnsi" w:cstheme="minorHAnsi"/>
          <w:kern w:val="3"/>
          <w:lang w:val="pl-PL"/>
        </w:rPr>
        <w:t xml:space="preserve">, </w:t>
      </w:r>
      <w:r w:rsidRPr="00931D79">
        <w:rPr>
          <w:rFonts w:asciiTheme="minorHAnsi" w:eastAsia="Calibri" w:hAnsiTheme="minorHAnsi" w:cstheme="minorHAnsi"/>
          <w:kern w:val="3"/>
          <w:lang w:val="pl-PL"/>
        </w:rPr>
        <w:t xml:space="preserve"> na podstawie porozumienia zawartego z Zamawiającym. </w:t>
      </w:r>
    </w:p>
    <w:p w14:paraId="4ACDC26B" w14:textId="24BCE839" w:rsidR="00533BC3" w:rsidRPr="00931D79" w:rsidRDefault="00533BC3" w:rsidP="003B634F">
      <w:pPr>
        <w:spacing w:line="319" w:lineRule="auto"/>
        <w:jc w:val="both"/>
        <w:rPr>
          <w:rFonts w:asciiTheme="minorHAnsi" w:eastAsia="Calibri" w:hAnsiTheme="minorHAnsi" w:cstheme="minorHAnsi"/>
          <w:kern w:val="3"/>
          <w:lang w:val="pl-PL"/>
        </w:rPr>
      </w:pPr>
      <w:r w:rsidRPr="00931D79">
        <w:rPr>
          <w:rFonts w:asciiTheme="minorHAnsi" w:eastAsia="Calibri" w:hAnsiTheme="minorHAnsi" w:cstheme="minorHAnsi"/>
          <w:kern w:val="3"/>
          <w:lang w:val="pl-PL"/>
        </w:rPr>
        <w:t>W związku z tym Wykonawca wyłoniony w ramach niniejszego zamówienia, w ramach realizacji prac będących częścią niniejszego zamówienia, winien przewidzieć następującą kolejność poszczególnych czynności oraz przerwy przewidziane na wykonanie prac przez Partycypującego:</w:t>
      </w:r>
    </w:p>
    <w:p w14:paraId="21AB9043" w14:textId="68784ACA" w:rsidR="00533BC3" w:rsidRPr="00931D79" w:rsidRDefault="00533BC3" w:rsidP="003B634F">
      <w:pPr>
        <w:suppressAutoHyphens/>
        <w:autoSpaceDN w:val="0"/>
        <w:spacing w:line="319" w:lineRule="auto"/>
        <w:ind w:left="142"/>
        <w:jc w:val="both"/>
        <w:textAlignment w:val="baseline"/>
        <w:rPr>
          <w:rFonts w:asciiTheme="minorHAnsi" w:eastAsia="Calibri" w:hAnsiTheme="minorHAnsi" w:cstheme="minorHAnsi"/>
          <w:kern w:val="3"/>
          <w:lang w:val="pl-PL"/>
        </w:rPr>
      </w:pPr>
      <w:r w:rsidRPr="00931D79">
        <w:rPr>
          <w:rFonts w:asciiTheme="minorHAnsi" w:eastAsia="Calibri" w:hAnsiTheme="minorHAnsi" w:cstheme="minorHAnsi"/>
          <w:kern w:val="3"/>
          <w:lang w:val="pl-PL"/>
        </w:rPr>
        <w:t xml:space="preserve">1) </w:t>
      </w:r>
      <w:r w:rsidRPr="00931D79">
        <w:rPr>
          <w:rFonts w:asciiTheme="minorHAnsi" w:eastAsiaTheme="minorHAnsi" w:hAnsiTheme="minorHAnsi" w:cstheme="minorHAnsi"/>
          <w:kern w:val="3"/>
          <w:lang w:val="pl-PL" w:eastAsia="en-US"/>
        </w:rPr>
        <w:t>Kanalizacja deszczowa, usuniecie kolizji, budowa przepustu, roboty przygotowawcze</w:t>
      </w:r>
      <w:r w:rsidR="001F181C" w:rsidRPr="00931D79">
        <w:rPr>
          <w:rFonts w:asciiTheme="minorHAnsi" w:eastAsiaTheme="minorHAnsi" w:hAnsiTheme="minorHAnsi" w:cstheme="minorHAnsi"/>
          <w:kern w:val="3"/>
          <w:lang w:val="pl-PL" w:eastAsia="en-US"/>
        </w:rPr>
        <w:t xml:space="preserve"> </w:t>
      </w:r>
      <w:r w:rsidRPr="00931D79">
        <w:rPr>
          <w:rFonts w:asciiTheme="minorHAnsi" w:eastAsiaTheme="minorHAnsi" w:hAnsiTheme="minorHAnsi" w:cstheme="minorHAnsi"/>
          <w:kern w:val="3"/>
          <w:lang w:val="pl-PL" w:eastAsia="en-US"/>
        </w:rPr>
        <w:t xml:space="preserve">– 45 dni roboczych –  zadanie </w:t>
      </w:r>
      <w:bookmarkStart w:id="12" w:name="_Hlk113894897"/>
      <w:r w:rsidRPr="00931D79">
        <w:rPr>
          <w:rFonts w:asciiTheme="minorHAnsi" w:eastAsiaTheme="minorHAnsi" w:hAnsiTheme="minorHAnsi" w:cstheme="minorHAnsi"/>
          <w:kern w:val="3"/>
          <w:lang w:val="pl-PL" w:eastAsia="en-US"/>
        </w:rPr>
        <w:t>Wykonawcy</w:t>
      </w:r>
      <w:r w:rsidR="001F181C" w:rsidRPr="00931D79">
        <w:rPr>
          <w:rFonts w:asciiTheme="minorHAnsi" w:eastAsia="Calibri" w:hAnsiTheme="minorHAnsi" w:cstheme="minorHAnsi"/>
          <w:kern w:val="3"/>
          <w:lang w:val="pl-PL"/>
        </w:rPr>
        <w:t xml:space="preserve"> wyłonionego w ramach niniejszego zamówienia</w:t>
      </w:r>
      <w:bookmarkEnd w:id="12"/>
      <w:r w:rsidRPr="00931D79">
        <w:rPr>
          <w:rFonts w:asciiTheme="minorHAnsi" w:eastAsiaTheme="minorHAnsi" w:hAnsiTheme="minorHAnsi" w:cstheme="minorHAnsi"/>
          <w:kern w:val="3"/>
          <w:lang w:val="pl-PL" w:eastAsia="en-US"/>
        </w:rPr>
        <w:t>,</w:t>
      </w:r>
    </w:p>
    <w:p w14:paraId="4DCA2B43" w14:textId="77777777" w:rsidR="00533BC3" w:rsidRPr="00931D79" w:rsidRDefault="00533BC3" w:rsidP="003B634F">
      <w:pPr>
        <w:spacing w:line="319" w:lineRule="auto"/>
        <w:ind w:left="142"/>
        <w:jc w:val="both"/>
        <w:rPr>
          <w:rFonts w:asciiTheme="minorHAnsi" w:eastAsiaTheme="minorHAnsi" w:hAnsiTheme="minorHAnsi" w:cstheme="minorHAnsi"/>
          <w:kern w:val="3"/>
          <w:lang w:val="pl-PL" w:eastAsia="en-US"/>
        </w:rPr>
      </w:pPr>
      <w:r w:rsidRPr="00931D79">
        <w:rPr>
          <w:rFonts w:asciiTheme="minorHAnsi" w:eastAsiaTheme="minorHAnsi" w:hAnsiTheme="minorHAnsi" w:cstheme="minorHAnsi"/>
          <w:kern w:val="3"/>
          <w:lang w:val="pl-PL" w:eastAsia="en-US"/>
        </w:rPr>
        <w:t>2) Roboty ziemne  – korytowania pod konstrukcję jezdni, ulepszone podłoże (pospółka 40 cm), stabilizacja 18 cm – 60 dni roboczych – zadanie Partycypującego, przerwa dla Wykonawcy,</w:t>
      </w:r>
    </w:p>
    <w:p w14:paraId="5FEA89C5" w14:textId="7133EC8E" w:rsidR="00533BC3" w:rsidRPr="00931D79" w:rsidRDefault="00533BC3" w:rsidP="003B634F">
      <w:pPr>
        <w:spacing w:line="319" w:lineRule="auto"/>
        <w:ind w:left="142"/>
        <w:jc w:val="both"/>
        <w:rPr>
          <w:rFonts w:asciiTheme="minorHAnsi" w:eastAsiaTheme="minorHAnsi" w:hAnsiTheme="minorHAnsi" w:cstheme="minorHAnsi"/>
          <w:kern w:val="3"/>
          <w:lang w:val="pl-PL" w:eastAsia="en-US"/>
        </w:rPr>
      </w:pPr>
      <w:r w:rsidRPr="00931D79">
        <w:rPr>
          <w:rFonts w:asciiTheme="minorHAnsi" w:eastAsiaTheme="minorHAnsi" w:hAnsiTheme="minorHAnsi" w:cstheme="minorHAnsi"/>
          <w:kern w:val="3"/>
          <w:lang w:val="pl-PL" w:eastAsia="en-US"/>
        </w:rPr>
        <w:t xml:space="preserve">3) Ustawienie krawężników na ławie betonowej wraz ze ściekami z kostki betonowej – 15 dni roboczych – </w:t>
      </w:r>
      <w:r w:rsidR="001F181C" w:rsidRPr="00931D79">
        <w:rPr>
          <w:rFonts w:asciiTheme="minorHAnsi" w:eastAsiaTheme="minorHAnsi" w:hAnsiTheme="minorHAnsi" w:cstheme="minorHAnsi"/>
          <w:kern w:val="3"/>
          <w:lang w:val="pl-PL" w:eastAsia="en-US"/>
        </w:rPr>
        <w:t>Wykonawcy</w:t>
      </w:r>
      <w:r w:rsidR="001F181C" w:rsidRPr="00931D79">
        <w:rPr>
          <w:rFonts w:asciiTheme="minorHAnsi" w:eastAsia="Calibri" w:hAnsiTheme="minorHAnsi" w:cstheme="minorHAnsi"/>
          <w:kern w:val="3"/>
          <w:lang w:val="pl-PL"/>
        </w:rPr>
        <w:t xml:space="preserve"> wyłonionego w ramach niniejszego zamówienia</w:t>
      </w:r>
      <w:r w:rsidRPr="00931D79">
        <w:rPr>
          <w:rFonts w:asciiTheme="minorHAnsi" w:eastAsiaTheme="minorHAnsi" w:hAnsiTheme="minorHAnsi" w:cstheme="minorHAnsi"/>
          <w:kern w:val="3"/>
          <w:lang w:val="pl-PL" w:eastAsia="en-US"/>
        </w:rPr>
        <w:t xml:space="preserve">, </w:t>
      </w:r>
    </w:p>
    <w:p w14:paraId="43B44201" w14:textId="77777777" w:rsidR="00533BC3" w:rsidRPr="00931D79" w:rsidRDefault="00533BC3" w:rsidP="003B634F">
      <w:pPr>
        <w:spacing w:line="319" w:lineRule="auto"/>
        <w:ind w:left="142"/>
        <w:jc w:val="both"/>
        <w:rPr>
          <w:rFonts w:asciiTheme="minorHAnsi" w:eastAsiaTheme="minorHAnsi" w:hAnsiTheme="minorHAnsi" w:cstheme="minorHAnsi"/>
          <w:kern w:val="3"/>
          <w:lang w:val="pl-PL" w:eastAsia="en-US"/>
        </w:rPr>
      </w:pPr>
      <w:r w:rsidRPr="00931D79">
        <w:rPr>
          <w:rFonts w:asciiTheme="minorHAnsi" w:eastAsiaTheme="minorHAnsi" w:hAnsiTheme="minorHAnsi" w:cstheme="minorHAnsi"/>
          <w:kern w:val="3"/>
          <w:lang w:val="pl-PL" w:eastAsia="en-US"/>
        </w:rPr>
        <w:t>4) Podbudowa zasadnicza z kruszywa (20 cm) – 21 dni roboczych – zadanie Partycypującego, przerwa dla Wykonawcy,</w:t>
      </w:r>
    </w:p>
    <w:p w14:paraId="55634D57" w14:textId="52C9C2ED" w:rsidR="00533BC3" w:rsidRPr="00931D79" w:rsidRDefault="00533BC3" w:rsidP="003B634F">
      <w:pPr>
        <w:spacing w:line="319" w:lineRule="auto"/>
        <w:ind w:left="142"/>
        <w:jc w:val="both"/>
        <w:rPr>
          <w:rFonts w:asciiTheme="minorHAnsi" w:eastAsiaTheme="minorHAnsi" w:hAnsiTheme="minorHAnsi" w:cstheme="minorHAnsi"/>
          <w:kern w:val="3"/>
          <w:lang w:val="pl-PL" w:eastAsia="en-US"/>
        </w:rPr>
      </w:pPr>
      <w:r w:rsidRPr="00931D79">
        <w:rPr>
          <w:rFonts w:asciiTheme="minorHAnsi" w:eastAsiaTheme="minorHAnsi" w:hAnsiTheme="minorHAnsi" w:cstheme="minorHAnsi"/>
          <w:kern w:val="3"/>
          <w:lang w:val="pl-PL" w:eastAsia="en-US"/>
        </w:rPr>
        <w:t>5) Warstwy bitumiczne (podbudowa zasadnicza 7 cm, warstwa wiążąca 5 cm, warstwa ścieralna 4 cm) – 8 dni roboczych – zadanie Partycypującego, przerwa dla Wykonawcy,</w:t>
      </w:r>
    </w:p>
    <w:p w14:paraId="1C382E5C" w14:textId="74C82EFE" w:rsidR="00533BC3" w:rsidRPr="00931D79" w:rsidRDefault="00533BC3" w:rsidP="003B634F">
      <w:pPr>
        <w:spacing w:line="319" w:lineRule="auto"/>
        <w:ind w:left="142"/>
        <w:jc w:val="both"/>
        <w:rPr>
          <w:rFonts w:asciiTheme="minorHAnsi" w:eastAsiaTheme="minorHAnsi" w:hAnsiTheme="minorHAnsi" w:cstheme="minorHAnsi"/>
          <w:kern w:val="3"/>
          <w:lang w:val="pl-PL" w:eastAsia="en-US"/>
        </w:rPr>
      </w:pPr>
      <w:r w:rsidRPr="00931D79">
        <w:rPr>
          <w:rFonts w:asciiTheme="minorHAnsi" w:eastAsiaTheme="minorHAnsi" w:hAnsiTheme="minorHAnsi" w:cstheme="minorHAnsi"/>
          <w:kern w:val="3"/>
          <w:lang w:val="pl-PL" w:eastAsia="en-US"/>
        </w:rPr>
        <w:t xml:space="preserve">6) Wyniesione skrzyżowania - nawierzchnia z kostki betonowej – 828 m2  - 8 dni roboczych – zadanie </w:t>
      </w:r>
      <w:r w:rsidR="003B634F" w:rsidRPr="00931D79">
        <w:rPr>
          <w:rFonts w:asciiTheme="minorHAnsi" w:eastAsiaTheme="minorHAnsi" w:hAnsiTheme="minorHAnsi" w:cstheme="minorHAnsi"/>
          <w:kern w:val="3"/>
          <w:lang w:val="pl-PL" w:eastAsia="en-US"/>
        </w:rPr>
        <w:t>Wykonawcy</w:t>
      </w:r>
      <w:r w:rsidR="003B634F" w:rsidRPr="00931D79">
        <w:rPr>
          <w:rFonts w:asciiTheme="minorHAnsi" w:eastAsia="Calibri" w:hAnsiTheme="minorHAnsi" w:cstheme="minorHAnsi"/>
          <w:kern w:val="3"/>
          <w:lang w:val="pl-PL"/>
        </w:rPr>
        <w:t xml:space="preserve"> wyłonionego w ramach niniejszego zamówienia</w:t>
      </w:r>
      <w:r w:rsidRPr="00931D79">
        <w:rPr>
          <w:rFonts w:asciiTheme="minorHAnsi" w:eastAsiaTheme="minorHAnsi" w:hAnsiTheme="minorHAnsi" w:cstheme="minorHAnsi"/>
          <w:kern w:val="3"/>
          <w:lang w:val="pl-PL" w:eastAsia="en-US"/>
        </w:rPr>
        <w:t>,</w:t>
      </w:r>
    </w:p>
    <w:p w14:paraId="32574555" w14:textId="532DB04B" w:rsidR="00533BC3" w:rsidRPr="00931D79" w:rsidRDefault="00533BC3" w:rsidP="003B634F">
      <w:pPr>
        <w:spacing w:line="319" w:lineRule="auto"/>
        <w:ind w:left="142"/>
        <w:jc w:val="both"/>
        <w:rPr>
          <w:rFonts w:asciiTheme="minorHAnsi" w:eastAsiaTheme="minorHAnsi" w:hAnsiTheme="minorHAnsi" w:cstheme="minorHAnsi"/>
          <w:kern w:val="3"/>
          <w:lang w:val="pl-PL" w:eastAsia="en-US"/>
        </w:rPr>
      </w:pPr>
      <w:r w:rsidRPr="00931D79">
        <w:rPr>
          <w:rFonts w:asciiTheme="minorHAnsi" w:eastAsiaTheme="minorHAnsi" w:hAnsiTheme="minorHAnsi" w:cstheme="minorHAnsi"/>
          <w:kern w:val="3"/>
          <w:lang w:val="pl-PL" w:eastAsia="en-US"/>
        </w:rPr>
        <w:t xml:space="preserve">7) Chodniki, oświetlenie uliczne – termin niezależny od prac Partycypującego – zadanie </w:t>
      </w:r>
      <w:r w:rsidR="003B634F" w:rsidRPr="00931D79">
        <w:rPr>
          <w:rFonts w:asciiTheme="minorHAnsi" w:eastAsiaTheme="minorHAnsi" w:hAnsiTheme="minorHAnsi" w:cstheme="minorHAnsi"/>
          <w:kern w:val="3"/>
          <w:lang w:val="pl-PL" w:eastAsia="en-US"/>
        </w:rPr>
        <w:t>Wykonawcy</w:t>
      </w:r>
      <w:r w:rsidR="003B634F" w:rsidRPr="00931D79">
        <w:rPr>
          <w:rFonts w:asciiTheme="minorHAnsi" w:eastAsia="Calibri" w:hAnsiTheme="minorHAnsi" w:cstheme="minorHAnsi"/>
          <w:kern w:val="3"/>
          <w:lang w:val="pl-PL"/>
        </w:rPr>
        <w:t xml:space="preserve"> wyłonionego w ramach niniejszego zamówienia,</w:t>
      </w:r>
    </w:p>
    <w:p w14:paraId="2C231290" w14:textId="603356C0" w:rsidR="00533BC3" w:rsidRPr="00931D79" w:rsidRDefault="00533BC3" w:rsidP="003B634F">
      <w:pPr>
        <w:spacing w:line="319" w:lineRule="auto"/>
        <w:ind w:left="284" w:hanging="142"/>
        <w:jc w:val="both"/>
        <w:rPr>
          <w:rFonts w:asciiTheme="minorHAnsi" w:eastAsiaTheme="minorHAnsi" w:hAnsiTheme="minorHAnsi" w:cstheme="minorHAnsi"/>
          <w:kern w:val="3"/>
          <w:lang w:val="pl-PL" w:eastAsia="en-US"/>
        </w:rPr>
      </w:pPr>
      <w:r w:rsidRPr="00931D79">
        <w:rPr>
          <w:rFonts w:asciiTheme="minorHAnsi" w:eastAsiaTheme="minorHAnsi" w:hAnsiTheme="minorHAnsi" w:cstheme="minorHAnsi"/>
          <w:kern w:val="3"/>
          <w:lang w:val="pl-PL" w:eastAsia="en-US"/>
        </w:rPr>
        <w:t xml:space="preserve">8) Oznakowanie i urządzenia bezpieczeństwa ruchu – po wykonaniu nawierzchni jezdni i  chodników – zadanie </w:t>
      </w:r>
      <w:r w:rsidR="003B634F" w:rsidRPr="00931D79">
        <w:rPr>
          <w:rFonts w:asciiTheme="minorHAnsi" w:eastAsiaTheme="minorHAnsi" w:hAnsiTheme="minorHAnsi" w:cstheme="minorHAnsi"/>
          <w:kern w:val="3"/>
          <w:lang w:val="pl-PL" w:eastAsia="en-US"/>
        </w:rPr>
        <w:t>Wykonawcy</w:t>
      </w:r>
      <w:r w:rsidR="003B634F" w:rsidRPr="00931D79">
        <w:rPr>
          <w:rFonts w:asciiTheme="minorHAnsi" w:eastAsia="Calibri" w:hAnsiTheme="minorHAnsi" w:cstheme="minorHAnsi"/>
          <w:kern w:val="3"/>
          <w:lang w:val="pl-PL"/>
        </w:rPr>
        <w:t xml:space="preserve"> wyłonionego w ramach niniejszego zamówienia</w:t>
      </w:r>
      <w:r w:rsidRPr="00931D79">
        <w:rPr>
          <w:rFonts w:asciiTheme="minorHAnsi" w:eastAsiaTheme="minorHAnsi" w:hAnsiTheme="minorHAnsi" w:cstheme="minorHAnsi"/>
          <w:kern w:val="3"/>
          <w:lang w:val="pl-PL" w:eastAsia="en-US"/>
        </w:rPr>
        <w:t>.</w:t>
      </w:r>
    </w:p>
    <w:p w14:paraId="4AC737C5" w14:textId="588BFBF9" w:rsidR="00C34DDD" w:rsidRPr="00931D79" w:rsidRDefault="00C34DDD" w:rsidP="007110FB">
      <w:pPr>
        <w:spacing w:line="319" w:lineRule="auto"/>
        <w:jc w:val="both"/>
        <w:rPr>
          <w:rFonts w:asciiTheme="minorHAnsi" w:eastAsia="Times New Roman" w:hAnsiTheme="minorHAnsi" w:cstheme="minorHAnsi"/>
          <w:b/>
        </w:rPr>
      </w:pPr>
    </w:p>
    <w:p w14:paraId="22D79036" w14:textId="46FF4A03" w:rsidR="00595D00" w:rsidRPr="00931D79" w:rsidRDefault="00595D00" w:rsidP="00500A00">
      <w:pPr>
        <w:spacing w:line="240" w:lineRule="auto"/>
        <w:jc w:val="both"/>
        <w:rPr>
          <w:rFonts w:asciiTheme="minorHAnsi" w:eastAsia="Times New Roman" w:hAnsiTheme="minorHAnsi" w:cstheme="minorHAnsi"/>
          <w:lang w:val="pl-PL"/>
        </w:rPr>
      </w:pPr>
      <w:r w:rsidRPr="00931D79">
        <w:rPr>
          <w:rFonts w:asciiTheme="minorHAnsi" w:eastAsia="Times New Roman" w:hAnsiTheme="minorHAnsi" w:cstheme="minorHAnsi"/>
          <w:b/>
        </w:rPr>
        <w:t xml:space="preserve">Wspólny Słownik Zamówień (CPV):  </w:t>
      </w:r>
    </w:p>
    <w:bookmarkEnd w:id="11"/>
    <w:p w14:paraId="7DCFE873" w14:textId="77777777" w:rsidR="001677B3" w:rsidRPr="00B613BE" w:rsidRDefault="001677B3" w:rsidP="001677B3">
      <w:pPr>
        <w:spacing w:line="240" w:lineRule="auto"/>
        <w:jc w:val="both"/>
        <w:rPr>
          <w:rFonts w:asciiTheme="minorHAnsi" w:eastAsia="Times New Roman" w:hAnsiTheme="minorHAnsi" w:cstheme="minorHAnsi"/>
          <w:lang w:val="pl-PL"/>
        </w:rPr>
      </w:pPr>
      <w:r w:rsidRPr="00B613BE">
        <w:rPr>
          <w:rFonts w:asciiTheme="minorHAnsi" w:eastAsia="Times New Roman" w:hAnsiTheme="minorHAnsi" w:cstheme="minorHAnsi"/>
          <w:lang w:val="pl-PL"/>
        </w:rPr>
        <w:t xml:space="preserve">    45231300-8 Roboty budowlane w zakresie budowy wodociągów i rurociągów do odprowadzania ścieków</w:t>
      </w:r>
    </w:p>
    <w:p w14:paraId="164A660B" w14:textId="2B49240D" w:rsidR="001677B3" w:rsidRPr="00B613BE" w:rsidRDefault="001677B3" w:rsidP="001677B3">
      <w:pPr>
        <w:spacing w:line="240" w:lineRule="auto"/>
        <w:jc w:val="both"/>
        <w:rPr>
          <w:rFonts w:asciiTheme="minorHAnsi" w:eastAsia="Times New Roman" w:hAnsiTheme="minorHAnsi" w:cstheme="minorHAnsi"/>
          <w:lang w:val="pl-PL"/>
        </w:rPr>
      </w:pPr>
      <w:r w:rsidRPr="00B613BE">
        <w:rPr>
          <w:rFonts w:asciiTheme="minorHAnsi" w:eastAsia="Times New Roman" w:hAnsiTheme="minorHAnsi" w:cstheme="minorHAnsi"/>
          <w:lang w:val="pl-PL"/>
        </w:rPr>
        <w:t xml:space="preserve">    45111000-8 Roboty w zakresie burzenia, roboty ziemne</w:t>
      </w:r>
    </w:p>
    <w:p w14:paraId="3F39654D" w14:textId="77777777" w:rsidR="001677B3" w:rsidRPr="00B613BE" w:rsidRDefault="001677B3" w:rsidP="001677B3">
      <w:pPr>
        <w:spacing w:line="240" w:lineRule="auto"/>
        <w:jc w:val="both"/>
        <w:rPr>
          <w:rFonts w:asciiTheme="minorHAnsi" w:eastAsia="Times New Roman" w:hAnsiTheme="minorHAnsi" w:cstheme="minorHAnsi"/>
          <w:lang w:val="pl-PL"/>
        </w:rPr>
      </w:pPr>
      <w:r w:rsidRPr="00B613BE">
        <w:rPr>
          <w:rFonts w:asciiTheme="minorHAnsi" w:eastAsia="Times New Roman" w:hAnsiTheme="minorHAnsi" w:cstheme="minorHAnsi"/>
          <w:lang w:val="pl-PL"/>
        </w:rPr>
        <w:t xml:space="preserve">    45113000-2 Roboty na placu budowy</w:t>
      </w:r>
    </w:p>
    <w:p w14:paraId="17F00262" w14:textId="77777777" w:rsidR="001677B3" w:rsidRPr="00B613BE" w:rsidRDefault="001677B3" w:rsidP="001677B3">
      <w:pPr>
        <w:spacing w:line="240" w:lineRule="auto"/>
        <w:jc w:val="both"/>
        <w:rPr>
          <w:rFonts w:asciiTheme="minorHAnsi" w:eastAsia="Times New Roman" w:hAnsiTheme="minorHAnsi" w:cstheme="minorHAnsi"/>
          <w:lang w:val="pl-PL"/>
        </w:rPr>
      </w:pPr>
      <w:r w:rsidRPr="00B613BE">
        <w:rPr>
          <w:rFonts w:asciiTheme="minorHAnsi" w:eastAsia="Times New Roman" w:hAnsiTheme="minorHAnsi" w:cstheme="minorHAnsi"/>
          <w:lang w:val="pl-PL"/>
        </w:rPr>
        <w:t xml:space="preserve">    45231000-5 Roboty w zakresie budowy rurociągów, ciągów komunikacyjnych,  i linii energetycznych</w:t>
      </w:r>
    </w:p>
    <w:p w14:paraId="0038B316" w14:textId="77777777" w:rsidR="001677B3" w:rsidRPr="00B613BE" w:rsidRDefault="001677B3" w:rsidP="001677B3">
      <w:pPr>
        <w:spacing w:line="240" w:lineRule="auto"/>
        <w:jc w:val="both"/>
        <w:rPr>
          <w:rFonts w:asciiTheme="minorHAnsi" w:eastAsia="Times New Roman" w:hAnsiTheme="minorHAnsi" w:cstheme="minorHAnsi"/>
          <w:lang w:val="pl-PL"/>
        </w:rPr>
      </w:pPr>
      <w:r w:rsidRPr="00B613BE">
        <w:rPr>
          <w:rFonts w:asciiTheme="minorHAnsi" w:eastAsia="Times New Roman" w:hAnsiTheme="minorHAnsi" w:cstheme="minorHAnsi"/>
          <w:lang w:val="pl-PL"/>
        </w:rPr>
        <w:t xml:space="preserve">    45233120-6  Roboty w zakresie budowy dróg</w:t>
      </w:r>
    </w:p>
    <w:p w14:paraId="117FDC32" w14:textId="77777777" w:rsidR="009F61EF" w:rsidRPr="00B613BE" w:rsidRDefault="009F61EF" w:rsidP="00EC4BE3">
      <w:pPr>
        <w:spacing w:line="240" w:lineRule="auto"/>
        <w:jc w:val="both"/>
        <w:rPr>
          <w:rFonts w:asciiTheme="minorHAnsi" w:eastAsiaTheme="minorHAnsi" w:hAnsiTheme="minorHAnsi" w:cstheme="minorHAnsi"/>
          <w:kern w:val="3"/>
          <w:lang w:val="pl-PL" w:eastAsia="en-US"/>
        </w:rPr>
      </w:pPr>
    </w:p>
    <w:p w14:paraId="1D945B24" w14:textId="77777777" w:rsidR="005A2283" w:rsidRPr="00B613BE" w:rsidRDefault="005A2283" w:rsidP="00857B2A">
      <w:pPr>
        <w:spacing w:line="319"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931D79"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160D2DE8"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lastRenderedPageBreak/>
        <w:t xml:space="preserve">Maksymalny okres gwarancji i rękojmi zaoferowany przez Wykonawcę, może wynosić </w:t>
      </w:r>
      <w:r w:rsidR="00C17059" w:rsidRPr="00931D79">
        <w:rPr>
          <w:rFonts w:asciiTheme="minorHAnsi" w:eastAsia="Times New Roman" w:hAnsiTheme="minorHAnsi" w:cstheme="minorHAnsi"/>
          <w:b/>
          <w:bCs/>
          <w:szCs w:val="24"/>
        </w:rPr>
        <w:t>8</w:t>
      </w:r>
      <w:r w:rsidR="00587233" w:rsidRPr="00931D79">
        <w:rPr>
          <w:rFonts w:asciiTheme="minorHAnsi" w:eastAsia="Times New Roman" w:hAnsiTheme="minorHAnsi" w:cstheme="minorHAnsi"/>
          <w:b/>
          <w:bCs/>
          <w:szCs w:val="24"/>
        </w:rPr>
        <w:t>4</w:t>
      </w:r>
      <w:r w:rsidRPr="00931D79">
        <w:rPr>
          <w:rFonts w:asciiTheme="minorHAnsi" w:eastAsia="Times New Roman" w:hAnsiTheme="minorHAnsi" w:cstheme="minorHAnsi"/>
          <w:b/>
          <w:bCs/>
          <w:szCs w:val="24"/>
        </w:rPr>
        <w:t xml:space="preserve"> miesi</w:t>
      </w:r>
      <w:r w:rsidR="00587233" w:rsidRPr="00931D79">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A306A71" w14:textId="55E63E4D" w:rsidR="00B02E9C" w:rsidRPr="00793143" w:rsidRDefault="008870AA" w:rsidP="00793143">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6127B2A3" w14:textId="77777777" w:rsidR="007800A9" w:rsidRDefault="007800A9" w:rsidP="008870AA">
      <w:pPr>
        <w:pStyle w:val="Nagwek2"/>
        <w:spacing w:before="0" w:after="0" w:line="319" w:lineRule="auto"/>
        <w:rPr>
          <w:rFonts w:asciiTheme="minorHAnsi" w:hAnsiTheme="minorHAnsi" w:cstheme="minorHAnsi"/>
          <w:b/>
          <w:bCs/>
          <w:sz w:val="24"/>
          <w:szCs w:val="24"/>
        </w:rPr>
      </w:pPr>
    </w:p>
    <w:p w14:paraId="5401E010" w14:textId="54505EF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107829567"/>
      <w:r w:rsidRPr="008870AA">
        <w:rPr>
          <w:rFonts w:asciiTheme="minorHAnsi" w:hAnsiTheme="minorHAnsi" w:cstheme="minorHAnsi"/>
          <w:b/>
          <w:bCs/>
          <w:sz w:val="24"/>
          <w:szCs w:val="24"/>
        </w:rPr>
        <w:t>V. Wizja lokalna</w:t>
      </w:r>
      <w:bookmarkEnd w:id="13"/>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07829568"/>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77419360"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3B634F">
        <w:rPr>
          <w:rFonts w:asciiTheme="minorHAnsi" w:hAnsiTheme="minorHAnsi" w:cstheme="minorHAnsi"/>
          <w:b/>
          <w:bCs/>
        </w:rPr>
        <w:t>7 miesięcy</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3F721CC4"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5" w:name="_Toc107829569"/>
      <w:r w:rsidRPr="000C69D0">
        <w:rPr>
          <w:rFonts w:asciiTheme="minorHAnsi" w:hAnsiTheme="minorHAnsi" w:cstheme="minorHAnsi"/>
          <w:b/>
          <w:bCs/>
          <w:sz w:val="22"/>
          <w:szCs w:val="22"/>
        </w:rPr>
        <w:t>VIII. Warunki udziału w postępowaniu</w:t>
      </w:r>
      <w:bookmarkEnd w:id="15"/>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6"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2C59D5BD" w14:textId="77777777" w:rsidR="00D9438C" w:rsidRPr="00931D79" w:rsidRDefault="00835CAF" w:rsidP="00C25D6C">
      <w:pPr>
        <w:pStyle w:val="Akapitzlist"/>
        <w:numPr>
          <w:ilvl w:val="1"/>
          <w:numId w:val="16"/>
        </w:numPr>
        <w:ind w:left="851" w:hanging="327"/>
        <w:jc w:val="both"/>
        <w:rPr>
          <w:rFonts w:eastAsiaTheme="minorHAnsi" w:cs="Calibri"/>
          <w:b/>
          <w:bCs/>
        </w:rPr>
      </w:pPr>
      <w:bookmarkStart w:id="17" w:name="_Hlk101946125"/>
      <w:bookmarkStart w:id="18" w:name="_Hlk5877927"/>
      <w:bookmarkStart w:id="19" w:name="_Hlk87001286"/>
      <w:bookmarkStart w:id="20" w:name="_Hlk87005844"/>
      <w:r w:rsidRPr="00931D79">
        <w:rPr>
          <w:rFonts w:cs="Calibri"/>
        </w:rPr>
        <w:t>Wykonawca spełni warunek jeżeli wykaże, że w okresie ostatnich 5 lat przed upływem terminu składania ofert, a jeżeli okres prowadzenia działalności jest krótszy – w tym okresie</w:t>
      </w:r>
      <w:bookmarkEnd w:id="17"/>
      <w:r w:rsidR="009429AE" w:rsidRPr="00931D79">
        <w:rPr>
          <w:rFonts w:cs="Calibri"/>
        </w:rPr>
        <w:t xml:space="preserve">, </w:t>
      </w:r>
      <w:r w:rsidR="00CB6C27" w:rsidRPr="00931D79">
        <w:rPr>
          <w:b/>
          <w:bCs/>
        </w:rPr>
        <w:t xml:space="preserve">należycie wykonał </w:t>
      </w:r>
      <w:bookmarkStart w:id="21" w:name="_Hlk26960414"/>
      <w:r w:rsidR="00CB6C27" w:rsidRPr="00931D79">
        <w:rPr>
          <w:b/>
          <w:bCs/>
        </w:rPr>
        <w:t>co najmniej jedną robotę budowlaną</w:t>
      </w:r>
      <w:r w:rsidR="00103E65" w:rsidRPr="00931D79">
        <w:rPr>
          <w:b/>
          <w:bCs/>
        </w:rPr>
        <w:t xml:space="preserve"> (zrealizowaną w ramach jednej umowy)</w:t>
      </w:r>
      <w:r w:rsidR="00CB6C27" w:rsidRPr="00931D79">
        <w:rPr>
          <w:b/>
          <w:bCs/>
        </w:rPr>
        <w:t xml:space="preserve"> o wartości co najmniej </w:t>
      </w:r>
      <w:r w:rsidR="00E621AC" w:rsidRPr="00931D79">
        <w:rPr>
          <w:b/>
          <w:bCs/>
        </w:rPr>
        <w:t xml:space="preserve">                             </w:t>
      </w:r>
      <w:r w:rsidR="00D9438C" w:rsidRPr="00931D79">
        <w:rPr>
          <w:b/>
          <w:bCs/>
        </w:rPr>
        <w:t>2.000</w:t>
      </w:r>
      <w:r w:rsidR="00CB6C27" w:rsidRPr="00931D79">
        <w:rPr>
          <w:b/>
          <w:bCs/>
        </w:rPr>
        <w:t>.000,00 zł brutto, obejmującą co najmniej</w:t>
      </w:r>
      <w:bookmarkEnd w:id="21"/>
      <w:r w:rsidR="00D9438C" w:rsidRPr="00931D79">
        <w:rPr>
          <w:b/>
          <w:bCs/>
        </w:rPr>
        <w:t>:</w:t>
      </w:r>
    </w:p>
    <w:p w14:paraId="443E18FB" w14:textId="2C025220" w:rsidR="00D9438C" w:rsidRPr="00931D79" w:rsidRDefault="00D9438C" w:rsidP="00D9438C">
      <w:pPr>
        <w:pStyle w:val="Akapitzlist"/>
        <w:ind w:left="851"/>
        <w:jc w:val="both"/>
        <w:rPr>
          <w:b/>
          <w:bCs/>
        </w:rPr>
      </w:pPr>
      <w:r w:rsidRPr="00931D79">
        <w:rPr>
          <w:b/>
          <w:bCs/>
        </w:rPr>
        <w:t>-</w:t>
      </w:r>
      <w:r w:rsidR="00CB6C27" w:rsidRPr="00931D79">
        <w:rPr>
          <w:b/>
          <w:bCs/>
        </w:rPr>
        <w:t xml:space="preserve"> budowę lub przebudowę</w:t>
      </w:r>
      <w:r w:rsidRPr="00931D79">
        <w:rPr>
          <w:b/>
          <w:bCs/>
        </w:rPr>
        <w:t xml:space="preserve"> kanalizacji deszczowej lub sanitarnej o długości co najmniej  </w:t>
      </w:r>
      <w:r w:rsidR="003B634F" w:rsidRPr="00931D79">
        <w:rPr>
          <w:b/>
          <w:bCs/>
        </w:rPr>
        <w:t xml:space="preserve">300,00 </w:t>
      </w:r>
      <w:proofErr w:type="spellStart"/>
      <w:r w:rsidRPr="00931D79">
        <w:rPr>
          <w:b/>
          <w:bCs/>
        </w:rPr>
        <w:t>mb</w:t>
      </w:r>
      <w:proofErr w:type="spellEnd"/>
      <w:r w:rsidRPr="00931D79">
        <w:rPr>
          <w:b/>
          <w:bCs/>
        </w:rPr>
        <w:t xml:space="preserve"> ,</w:t>
      </w:r>
    </w:p>
    <w:p w14:paraId="73578199" w14:textId="0ACA5728" w:rsidR="00CB6C27" w:rsidRPr="000E7830" w:rsidRDefault="00D9438C" w:rsidP="00D9438C">
      <w:pPr>
        <w:pStyle w:val="Akapitzlist"/>
        <w:ind w:left="851"/>
        <w:jc w:val="both"/>
        <w:rPr>
          <w:rFonts w:eastAsiaTheme="minorHAnsi" w:cs="Calibri"/>
          <w:b/>
          <w:bCs/>
        </w:rPr>
      </w:pPr>
      <w:r w:rsidRPr="00931D79">
        <w:rPr>
          <w:b/>
          <w:bCs/>
        </w:rPr>
        <w:t xml:space="preserve">- roboty brukarskie polegające na ułożeniu kostki betonowej o </w:t>
      </w:r>
      <w:r w:rsidR="00951EB6" w:rsidRPr="00931D79">
        <w:rPr>
          <w:b/>
          <w:bCs/>
        </w:rPr>
        <w:t xml:space="preserve">łącznej </w:t>
      </w:r>
      <w:r w:rsidRPr="00931D79">
        <w:rPr>
          <w:b/>
          <w:bCs/>
        </w:rPr>
        <w:t xml:space="preserve">powierzchni co najmniej </w:t>
      </w:r>
      <w:r w:rsidR="00951EB6" w:rsidRPr="00931D79">
        <w:rPr>
          <w:b/>
          <w:bCs/>
        </w:rPr>
        <w:t xml:space="preserve">                   </w:t>
      </w:r>
      <w:r w:rsidRPr="00931D79">
        <w:rPr>
          <w:b/>
          <w:bCs/>
        </w:rPr>
        <w:t>1</w:t>
      </w:r>
      <w:r w:rsidR="00951EB6" w:rsidRPr="00931D79">
        <w:rPr>
          <w:b/>
          <w:bCs/>
        </w:rPr>
        <w:t>5</w:t>
      </w:r>
      <w:r w:rsidRPr="00931D79">
        <w:rPr>
          <w:b/>
          <w:bCs/>
        </w:rPr>
        <w:t>00 m2</w:t>
      </w:r>
      <w:r w:rsidR="00951EB6" w:rsidRPr="00931D79">
        <w:rPr>
          <w:b/>
          <w:bCs/>
        </w:rPr>
        <w:t>.</w:t>
      </w:r>
    </w:p>
    <w:p w14:paraId="13103850" w14:textId="7F13B7AD" w:rsidR="00C34DDD" w:rsidRPr="00CB6C27" w:rsidRDefault="00C34DDD" w:rsidP="00CB6C27">
      <w:pPr>
        <w:pStyle w:val="Akapitzlist"/>
        <w:spacing w:after="0" w:line="319" w:lineRule="auto"/>
        <w:ind w:left="567"/>
        <w:jc w:val="both"/>
        <w:rPr>
          <w:rFonts w:asciiTheme="minorHAnsi" w:eastAsia="Times New Roman" w:hAnsiTheme="minorHAnsi" w:cstheme="minorHAnsi"/>
        </w:rPr>
      </w:pPr>
    </w:p>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2"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2"/>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8"/>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2F26D243" w:rsidR="00866103" w:rsidRPr="00931D79" w:rsidRDefault="00866103" w:rsidP="00866103">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inżynieryjnej drogowej</w:t>
      </w:r>
      <w:r w:rsidR="00951EB6" w:rsidRPr="00931D79">
        <w:rPr>
          <w:rFonts w:asciiTheme="minorHAnsi" w:eastAsia="Times New Roman" w:hAnsiTheme="minorHAnsi" w:cstheme="minorHAnsi"/>
          <w:b/>
          <w:szCs w:val="24"/>
        </w:rPr>
        <w:t>,</w:t>
      </w:r>
    </w:p>
    <w:p w14:paraId="5CA22F21" w14:textId="2789865B" w:rsidR="00951EB6" w:rsidRPr="00931D79" w:rsidRDefault="00951EB6" w:rsidP="00951EB6">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b/>
          <w:szCs w:val="24"/>
        </w:rPr>
        <w:lastRenderedPageBreak/>
        <w:t xml:space="preserve">- kierownikiem robót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instalacyjnej w zakresie sieci, instalacji i urządzeń cieplnych, wentylacyjnych, gazowych, wodociągowych i kanalizacyjnych,</w:t>
      </w:r>
    </w:p>
    <w:p w14:paraId="4C470358" w14:textId="7ED26961" w:rsidR="00030063" w:rsidRPr="00931D79" w:rsidRDefault="00030063" w:rsidP="00030063">
      <w:pPr>
        <w:ind w:left="426"/>
        <w:jc w:val="both"/>
        <w:rPr>
          <w:rFonts w:asciiTheme="minorHAnsi" w:eastAsia="Times New Roman" w:hAnsiTheme="minorHAnsi" w:cstheme="minorHAnsi"/>
          <w:b/>
          <w:szCs w:val="24"/>
        </w:rPr>
      </w:pPr>
      <w:r w:rsidRPr="00931D79">
        <w:rPr>
          <w:rFonts w:asciiTheme="minorHAnsi" w:eastAsia="Times New Roman" w:hAnsiTheme="minorHAnsi" w:cstheme="minorHAnsi"/>
          <w:b/>
          <w:szCs w:val="24"/>
        </w:rPr>
        <w:t>- kierownikiem robót – min. jedna osoba posiadająca uprawnienia budowlane w specjalności instalacyjnej w zakresie instalacji i urządzeń elektrycznych i elektroenergetycznych</w:t>
      </w:r>
      <w:r w:rsidR="003B634F" w:rsidRPr="00931D79">
        <w:rPr>
          <w:rFonts w:asciiTheme="minorHAnsi" w:eastAsia="Times New Roman" w:hAnsiTheme="minorHAnsi" w:cstheme="minorHAnsi"/>
          <w:b/>
          <w:szCs w:val="24"/>
        </w:rPr>
        <w:t>.</w:t>
      </w:r>
    </w:p>
    <w:p w14:paraId="66C49871" w14:textId="77777777" w:rsidR="000E7830" w:rsidRPr="00931D79" w:rsidRDefault="000E7830" w:rsidP="00030063">
      <w:pPr>
        <w:spacing w:line="319" w:lineRule="auto"/>
        <w:jc w:val="both"/>
        <w:rPr>
          <w:rFonts w:asciiTheme="minorHAnsi" w:eastAsia="Times New Roman" w:hAnsiTheme="minorHAnsi" w:cstheme="minorHAnsi"/>
        </w:rPr>
      </w:pPr>
    </w:p>
    <w:bookmarkEnd w:id="16"/>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6CF7A05F" w14:textId="77777777" w:rsidR="00AB7F95" w:rsidRPr="00B32DB1" w:rsidRDefault="00AB7F95" w:rsidP="00AB7F95">
      <w:pPr>
        <w:spacing w:line="240" w:lineRule="auto"/>
        <w:ind w:left="567"/>
        <w:jc w:val="both"/>
        <w:rPr>
          <w:rFonts w:asciiTheme="minorHAnsi" w:eastAsia="Times New Roman" w:hAnsiTheme="minorHAnsi" w:cstheme="minorHAnsi"/>
        </w:rPr>
      </w:pPr>
      <w:bookmarkStart w:id="23" w:name="_Hlk53567073"/>
    </w:p>
    <w:p w14:paraId="3D793620" w14:textId="77777777" w:rsidR="00AB7F95" w:rsidRPr="00B32DB1" w:rsidRDefault="00AB7F95" w:rsidP="00AB7F95">
      <w:pPr>
        <w:spacing w:line="240" w:lineRule="auto"/>
        <w:jc w:val="both"/>
        <w:rPr>
          <w:rFonts w:asciiTheme="minorHAnsi" w:eastAsia="Times New Roman" w:hAnsiTheme="minorHAnsi" w:cstheme="minorHAnsi"/>
        </w:rPr>
      </w:pPr>
    </w:p>
    <w:bookmarkEnd w:id="23"/>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bookmarkEnd w:id="20"/>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107829570"/>
      <w:r w:rsidRPr="008870AA">
        <w:rPr>
          <w:rFonts w:asciiTheme="minorHAnsi" w:hAnsiTheme="minorHAnsi" w:cstheme="minorHAnsi"/>
          <w:b/>
          <w:bCs/>
          <w:sz w:val="24"/>
          <w:szCs w:val="24"/>
        </w:rPr>
        <w:t>IX. Podstawy wykluczenia z postępowania</w:t>
      </w:r>
      <w:bookmarkEnd w:id="24"/>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107829571"/>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Zamawiający wzywa wykonawcę, którego oferta została najwyżej oceniona, do złożenia w wyznaczonym terminie, nie krótszym niż 5 dni od dnia wezwania, podmiotowych środków dowodowych, jeżeli wymagał ich </w:t>
      </w:r>
      <w:r w:rsidRPr="008870AA">
        <w:rPr>
          <w:rFonts w:asciiTheme="minorHAnsi" w:hAnsiTheme="minorHAnsi" w:cstheme="minorHAnsi"/>
        </w:rPr>
        <w:lastRenderedPageBreak/>
        <w:t>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6" w:name="_Toc107829572"/>
      <w:r w:rsidRPr="008870AA">
        <w:rPr>
          <w:rFonts w:asciiTheme="minorHAnsi" w:hAnsiTheme="minorHAnsi" w:cstheme="minorHAnsi"/>
          <w:b/>
          <w:bCs/>
          <w:sz w:val="22"/>
          <w:szCs w:val="22"/>
        </w:rPr>
        <w:t>XI. Poleganie na zasobach innych podmiotów</w:t>
      </w:r>
      <w:bookmarkEnd w:id="26"/>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lastRenderedPageBreak/>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8870AA">
        <w:rPr>
          <w:rFonts w:asciiTheme="minorHAnsi" w:hAnsiTheme="minorHAnsi" w:cstheme="minorHAnsi"/>
        </w:rPr>
        <w:t xml:space="preserve">Wykonawca powołuje się na jego zasoby, </w:t>
      </w:r>
      <w:bookmarkEnd w:id="27"/>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107829573"/>
      <w:r w:rsidRPr="008870AA">
        <w:rPr>
          <w:rFonts w:asciiTheme="minorHAnsi" w:hAnsiTheme="minorHAnsi" w:cstheme="minorHAnsi"/>
          <w:b/>
          <w:bCs/>
          <w:sz w:val="24"/>
          <w:szCs w:val="24"/>
        </w:rPr>
        <w:t>XII. Informacja dla Wykonawców wspólnie ubiegających się o udzielenie zamówienia</w:t>
      </w:r>
      <w:bookmarkEnd w:id="28"/>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9" w:name="_Hlk63772459"/>
      <w:r w:rsidRPr="008870AA">
        <w:rPr>
          <w:rFonts w:asciiTheme="minorHAnsi" w:hAnsiTheme="minorHAnsi" w:cstheme="minorHAnsi"/>
        </w:rPr>
        <w:t xml:space="preserve">Wykonawcy wspólnie ubiegający się o udzielenie zamówienia dołączają do oferty </w:t>
      </w:r>
      <w:bookmarkStart w:id="30"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9"/>
    <w:bookmarkEnd w:id="30"/>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107829574"/>
      <w:bookmarkStart w:id="32"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3"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4"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4"/>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lastRenderedPageBreak/>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5"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5"/>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107829575"/>
      <w:bookmarkStart w:id="37" w:name="_Hlk66110879"/>
      <w:r w:rsidRPr="008870AA">
        <w:rPr>
          <w:rFonts w:asciiTheme="minorHAnsi" w:hAnsiTheme="minorHAnsi" w:cstheme="minorHAnsi"/>
          <w:b/>
          <w:bCs/>
          <w:sz w:val="24"/>
          <w:szCs w:val="24"/>
        </w:rPr>
        <w:t>XIV. Opis sposobu przygotowania ofert oraz dokumentów wymaganych przez Zamawiającego w SWZ</w:t>
      </w:r>
      <w:bookmarkEnd w:id="36"/>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rsidP="00972E16">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8" w:name="_Hlk65238743"/>
      <w:r w:rsidRPr="006506A6">
        <w:rPr>
          <w:rFonts w:asciiTheme="minorHAnsi" w:hAnsiTheme="minorHAnsi" w:cstheme="minorHAnsi"/>
        </w:rPr>
        <w:t xml:space="preserve">oświadczenie o niepodleganiu wykluczeniu składa </w:t>
      </w:r>
      <w:bookmarkEnd w:id="38"/>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2BF45E1B"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9"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39"/>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0" w:name="_Hlk80957306"/>
      <w:r w:rsidRPr="008870AA">
        <w:rPr>
          <w:rFonts w:asciiTheme="minorHAnsi" w:hAnsiTheme="minorHAnsi" w:cstheme="minorHAnsi"/>
        </w:rPr>
        <w:t>muszą zostać podpisane elektronicznym kwalifikowanym podpisem lub podpisem zaufanym lub podpisem osobistym</w:t>
      </w:r>
      <w:bookmarkEnd w:id="40"/>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1" w:name="_Toc107829576"/>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1"/>
    </w:p>
    <w:p w14:paraId="43128FE9" w14:textId="1539B024"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 ceny ofertowej brutto za realizację przedmiotu zamówienia</w:t>
      </w:r>
      <w:r w:rsidR="00B435DA">
        <w:rPr>
          <w:rFonts w:asciiTheme="minorHAnsi" w:eastAsia="Times New Roman" w:hAnsiTheme="minorHAnsi" w:cstheme="minorHAnsi"/>
        </w:rPr>
        <w:t>.</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3"/>
    </w:p>
    <w:bookmarkEnd w:id="42"/>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lastRenderedPageBreak/>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4" w:name="_Toc107829577"/>
      <w:r w:rsidRPr="008870AA">
        <w:rPr>
          <w:rFonts w:asciiTheme="minorHAnsi" w:hAnsiTheme="minorHAnsi" w:cstheme="minorHAnsi"/>
          <w:b/>
          <w:bCs/>
          <w:sz w:val="22"/>
          <w:szCs w:val="22"/>
        </w:rPr>
        <w:t>XVI. Wymagania dotyczące wadium</w:t>
      </w:r>
      <w:bookmarkEnd w:id="44"/>
      <w:r w:rsidR="00361462">
        <w:rPr>
          <w:rFonts w:asciiTheme="minorHAnsi" w:hAnsiTheme="minorHAnsi" w:cstheme="minorHAnsi"/>
          <w:b/>
          <w:bCs/>
          <w:sz w:val="22"/>
          <w:szCs w:val="22"/>
        </w:rPr>
        <w:t>.</w:t>
      </w:r>
    </w:p>
    <w:p w14:paraId="5A3A178C" w14:textId="7977EE3F" w:rsidR="00361462" w:rsidRPr="00A258D6" w:rsidRDefault="00361462" w:rsidP="00361462">
      <w:pPr>
        <w:numPr>
          <w:ilvl w:val="3"/>
          <w:numId w:val="5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Pr>
          <w:rFonts w:asciiTheme="majorHAnsi" w:hAnsiTheme="majorHAnsi" w:cstheme="majorHAnsi"/>
          <w:b/>
          <w:bCs/>
        </w:rPr>
        <w:t>50.000,00</w:t>
      </w:r>
      <w:r w:rsidRPr="0013799C">
        <w:rPr>
          <w:rFonts w:asciiTheme="majorHAnsi" w:hAnsiTheme="majorHAnsi" w:cstheme="majorHAnsi"/>
          <w:b/>
          <w:bCs/>
        </w:rPr>
        <w:t xml:space="preserve"> zł</w:t>
      </w:r>
      <w:r>
        <w:rPr>
          <w:rFonts w:asciiTheme="majorHAnsi" w:hAnsiTheme="majorHAnsi" w:cstheme="majorHAnsi"/>
        </w:rPr>
        <w:t xml:space="preserve"> </w:t>
      </w:r>
    </w:p>
    <w:p w14:paraId="01A62D14" w14:textId="77777777" w:rsidR="00361462" w:rsidRPr="00A258D6" w:rsidRDefault="00361462" w:rsidP="00361462">
      <w:pPr>
        <w:numPr>
          <w:ilvl w:val="3"/>
          <w:numId w:val="50"/>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5F1C1C39" w14:textId="77777777" w:rsidR="00361462" w:rsidRPr="00A258D6" w:rsidRDefault="00361462" w:rsidP="00361462">
      <w:pPr>
        <w:numPr>
          <w:ilvl w:val="3"/>
          <w:numId w:val="50"/>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5473AD3E" w14:textId="77777777" w:rsidR="00361462" w:rsidRPr="00A258D6" w:rsidRDefault="00361462" w:rsidP="00361462">
      <w:pPr>
        <w:numPr>
          <w:ilvl w:val="1"/>
          <w:numId w:val="49"/>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74CA1676" w14:textId="77777777" w:rsidR="00361462" w:rsidRPr="00A258D6" w:rsidRDefault="00361462" w:rsidP="00361462">
      <w:pPr>
        <w:numPr>
          <w:ilvl w:val="1"/>
          <w:numId w:val="49"/>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07CC9F23" w14:textId="77777777" w:rsidR="00361462" w:rsidRPr="00A258D6" w:rsidRDefault="00361462" w:rsidP="00361462">
      <w:pPr>
        <w:numPr>
          <w:ilvl w:val="1"/>
          <w:numId w:val="49"/>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5001B557" w14:textId="77777777" w:rsidR="00361462" w:rsidRPr="00A258D6" w:rsidRDefault="00361462" w:rsidP="00361462">
      <w:pPr>
        <w:numPr>
          <w:ilvl w:val="1"/>
          <w:numId w:val="49"/>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Pr="00A258D6">
        <w:rPr>
          <w:rFonts w:asciiTheme="majorHAnsi" w:hAnsiTheme="majorHAnsi" w:cstheme="majorHAnsi"/>
        </w:rPr>
        <w:t>t.j.Dz</w:t>
      </w:r>
      <w:proofErr w:type="spellEnd"/>
      <w:r w:rsidRPr="00A258D6">
        <w:rPr>
          <w:rFonts w:asciiTheme="majorHAnsi" w:hAnsiTheme="majorHAnsi" w:cstheme="majorHAnsi"/>
        </w:rPr>
        <w:t>. U. z 2020 r. poz. 299).</w:t>
      </w:r>
    </w:p>
    <w:p w14:paraId="6C96AA36" w14:textId="7C76105F" w:rsidR="00361462" w:rsidRPr="00A258D6" w:rsidRDefault="00361462" w:rsidP="00361462">
      <w:pPr>
        <w:numPr>
          <w:ilvl w:val="3"/>
          <w:numId w:val="50"/>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Pr>
          <w:rFonts w:asciiTheme="majorHAnsi" w:hAnsiTheme="majorHAnsi" w:cstheme="majorHAnsi"/>
          <w:b/>
          <w:bCs/>
        </w:rPr>
        <w:t>15</w:t>
      </w:r>
      <w:r w:rsidRPr="00A258D6">
        <w:rPr>
          <w:rFonts w:asciiTheme="majorHAnsi" w:hAnsiTheme="majorHAnsi" w:cstheme="majorHAnsi"/>
          <w:b/>
          <w:bCs/>
        </w:rPr>
        <w:t>.202</w:t>
      </w:r>
      <w:r w:rsidR="00043E4A">
        <w:rPr>
          <w:rFonts w:asciiTheme="majorHAnsi" w:hAnsiTheme="majorHAnsi" w:cstheme="majorHAnsi"/>
          <w:b/>
          <w:bCs/>
        </w:rPr>
        <w:t>2</w:t>
      </w:r>
      <w:r w:rsidRPr="00A258D6">
        <w:rPr>
          <w:rFonts w:asciiTheme="majorHAnsi" w:hAnsiTheme="majorHAnsi" w:cstheme="majorHAnsi"/>
          <w:b/>
          <w:bCs/>
        </w:rPr>
        <w:t xml:space="preserve"> –</w:t>
      </w:r>
      <w:r>
        <w:rPr>
          <w:rFonts w:asciiTheme="majorHAnsi" w:hAnsiTheme="majorHAnsi" w:cstheme="majorHAnsi"/>
          <w:b/>
          <w:bCs/>
        </w:rPr>
        <w:t xml:space="preserve"> „Leśna w Dąbrowie</w:t>
      </w:r>
      <w:r w:rsidRPr="00A258D6">
        <w:rPr>
          <w:rFonts w:asciiTheme="majorHAnsi" w:hAnsiTheme="majorHAnsi" w:cstheme="majorHAnsi"/>
          <w:b/>
          <w:bCs/>
        </w:rPr>
        <w:t>”.</w:t>
      </w:r>
    </w:p>
    <w:p w14:paraId="6B0CD120" w14:textId="77777777" w:rsidR="00361462" w:rsidRPr="00A258D6" w:rsidRDefault="00361462" w:rsidP="00361462">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65BFAE09" w14:textId="77777777" w:rsidR="00361462" w:rsidRPr="00A258D6" w:rsidRDefault="00361462" w:rsidP="00361462">
      <w:pPr>
        <w:spacing w:line="319" w:lineRule="auto"/>
        <w:jc w:val="both"/>
        <w:rPr>
          <w:rFonts w:asciiTheme="majorHAnsi" w:hAnsiTheme="majorHAnsi" w:cstheme="majorHAnsi"/>
          <w:strike/>
        </w:rPr>
      </w:pPr>
    </w:p>
    <w:p w14:paraId="05848164"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7566C46E"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c) Jako Beneficjenta wadium wnoszonego w formie poręczeń lub gwarancji należy wskazać – Gminę Dopiewo.</w:t>
      </w:r>
    </w:p>
    <w:p w14:paraId="1CC8F61D" w14:textId="77777777" w:rsidR="00361462" w:rsidRPr="00A258D6" w:rsidRDefault="00361462" w:rsidP="00361462">
      <w:pPr>
        <w:spacing w:line="319" w:lineRule="auto"/>
        <w:jc w:val="both"/>
        <w:rPr>
          <w:rFonts w:asciiTheme="majorHAnsi" w:hAnsiTheme="majorHAnsi" w:cstheme="majorHAnsi"/>
          <w:strike/>
        </w:rPr>
      </w:pPr>
      <w:r w:rsidRPr="00A258D6">
        <w:rPr>
          <w:rFonts w:asciiTheme="majorHAnsi" w:hAnsiTheme="majorHAnsi" w:cstheme="maj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CF75506"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 xml:space="preserve">h) Zamawiający dokona zwrotu wadium na zasadach określonych w art. 98 ust. 1 i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3A7D517C"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4ABCFAB" w14:textId="77777777" w:rsidR="00361462" w:rsidRPr="00A258D6" w:rsidRDefault="00361462" w:rsidP="00361462">
      <w:pPr>
        <w:spacing w:line="319" w:lineRule="auto"/>
        <w:jc w:val="both"/>
        <w:rPr>
          <w:rFonts w:asciiTheme="majorHAnsi" w:hAnsiTheme="majorHAnsi" w:cstheme="majorHAnsi"/>
          <w:color w:val="000000" w:themeColor="text1"/>
          <w:highlight w:val="yellow"/>
        </w:rPr>
      </w:pPr>
    </w:p>
    <w:p w14:paraId="7E4ADA37"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18A25D01" w14:textId="77777777" w:rsidR="00361462" w:rsidRPr="00A258D6" w:rsidRDefault="00361462" w:rsidP="00361462">
      <w:pPr>
        <w:spacing w:line="319" w:lineRule="auto"/>
        <w:jc w:val="both"/>
        <w:rPr>
          <w:rFonts w:asciiTheme="majorHAnsi" w:hAnsiTheme="majorHAnsi" w:cstheme="majorHAnsi"/>
          <w:color w:val="000000" w:themeColor="text1"/>
        </w:rPr>
      </w:pPr>
    </w:p>
    <w:p w14:paraId="27D6ADEE"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19C5F44E" w14:textId="77777777" w:rsidR="00361462" w:rsidRPr="00361462" w:rsidRDefault="00361462" w:rsidP="00361462"/>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107829578"/>
      <w:r w:rsidRPr="008870AA">
        <w:rPr>
          <w:rFonts w:asciiTheme="minorHAnsi" w:hAnsiTheme="minorHAnsi" w:cstheme="minorHAnsi"/>
          <w:b/>
          <w:bCs/>
          <w:sz w:val="22"/>
          <w:szCs w:val="22"/>
        </w:rPr>
        <w:t>XVII. Termin związania ofertą</w:t>
      </w:r>
      <w:bookmarkEnd w:id="45"/>
    </w:p>
    <w:p w14:paraId="68E3EA92" w14:textId="732B4096"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5B0E91">
        <w:rPr>
          <w:rFonts w:asciiTheme="minorHAnsi" w:hAnsiTheme="minorHAnsi" w:cstheme="minorHAnsi"/>
          <w:b/>
          <w:bCs/>
          <w:highlight w:val="yellow"/>
        </w:rPr>
        <w:t>28</w:t>
      </w:r>
      <w:r w:rsidRPr="008870AA">
        <w:rPr>
          <w:rFonts w:asciiTheme="minorHAnsi" w:hAnsiTheme="minorHAnsi" w:cstheme="minorHAnsi"/>
          <w:b/>
          <w:bCs/>
          <w:highlight w:val="yellow"/>
        </w:rPr>
        <w:t>.</w:t>
      </w:r>
      <w:r w:rsidR="005B0E91">
        <w:rPr>
          <w:rFonts w:asciiTheme="minorHAnsi" w:hAnsiTheme="minorHAnsi" w:cstheme="minorHAnsi"/>
          <w:b/>
          <w:bCs/>
          <w:highlight w:val="yellow"/>
        </w:rPr>
        <w:t>10</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107829579"/>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6"/>
    </w:p>
    <w:p w14:paraId="31387002" w14:textId="33BAABF7"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5B0E91">
        <w:rPr>
          <w:rFonts w:asciiTheme="minorHAnsi" w:hAnsiTheme="minorHAnsi" w:cstheme="minorHAnsi"/>
          <w:b/>
          <w:bCs/>
          <w:highlight w:val="yellow"/>
        </w:rPr>
        <w:t>29</w:t>
      </w:r>
      <w:r w:rsidRPr="008870AA">
        <w:rPr>
          <w:rFonts w:asciiTheme="minorHAnsi" w:hAnsiTheme="minorHAnsi" w:cstheme="minorHAnsi"/>
          <w:b/>
          <w:bCs/>
          <w:highlight w:val="yellow"/>
        </w:rPr>
        <w:t>.</w:t>
      </w:r>
      <w:r w:rsidR="00B435DA">
        <w:rPr>
          <w:rFonts w:asciiTheme="minorHAnsi" w:hAnsiTheme="minorHAnsi" w:cstheme="minorHAnsi"/>
          <w:b/>
          <w:bCs/>
          <w:highlight w:val="yellow"/>
        </w:rPr>
        <w:t>0</w:t>
      </w:r>
      <w:r w:rsidR="005B0E91">
        <w:rPr>
          <w:rFonts w:asciiTheme="minorHAnsi" w:hAnsiTheme="minorHAnsi" w:cstheme="minorHAnsi"/>
          <w:b/>
          <w:bCs/>
          <w:highlight w:val="yellow"/>
        </w:rPr>
        <w:t>9</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gdzie zaznaczono, iż oferty, wnioski o dopuszczenie do udziału w postępowaniu oraz oświadczenie, o którym mowa w art. 125 ust.1 sporządza </w:t>
      </w:r>
      <w:r w:rsidRPr="008870AA">
        <w:rPr>
          <w:rFonts w:asciiTheme="minorHAnsi" w:hAnsiTheme="minorHAnsi" w:cstheme="minorHAnsi"/>
        </w:rPr>
        <w:lastRenderedPageBreak/>
        <w:t>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Toc107829580"/>
      <w:r w:rsidRPr="008870AA">
        <w:rPr>
          <w:rFonts w:asciiTheme="minorHAnsi" w:hAnsiTheme="minorHAnsi" w:cstheme="minorHAnsi"/>
          <w:b/>
          <w:bCs/>
          <w:sz w:val="22"/>
          <w:szCs w:val="22"/>
        </w:rPr>
        <w:t>XIX. Otwarcie ofert</w:t>
      </w:r>
      <w:bookmarkEnd w:id="47"/>
    </w:p>
    <w:p w14:paraId="792AD29B" w14:textId="52E3948E"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5B0E91">
        <w:rPr>
          <w:rFonts w:asciiTheme="minorHAnsi" w:hAnsiTheme="minorHAnsi" w:cstheme="minorHAnsi"/>
          <w:b/>
          <w:bCs/>
          <w:highlight w:val="yellow"/>
        </w:rPr>
        <w:t>29</w:t>
      </w:r>
      <w:r w:rsidRPr="00BD054F">
        <w:rPr>
          <w:rFonts w:asciiTheme="minorHAnsi" w:hAnsiTheme="minorHAnsi" w:cstheme="minorHAnsi"/>
          <w:b/>
          <w:bCs/>
          <w:highlight w:val="yellow"/>
        </w:rPr>
        <w:t>.</w:t>
      </w:r>
      <w:r w:rsidR="008E4316">
        <w:rPr>
          <w:rFonts w:asciiTheme="minorHAnsi" w:hAnsiTheme="minorHAnsi" w:cstheme="minorHAnsi"/>
          <w:b/>
          <w:bCs/>
          <w:highlight w:val="yellow"/>
        </w:rPr>
        <w:t>0</w:t>
      </w:r>
      <w:r w:rsidR="005B0E91">
        <w:rPr>
          <w:rFonts w:asciiTheme="minorHAnsi" w:hAnsiTheme="minorHAnsi" w:cstheme="minorHAnsi"/>
          <w:b/>
          <w:bCs/>
          <w:highlight w:val="yellow"/>
        </w:rPr>
        <w:t>9</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8" w:name="_Toc107829581"/>
      <w:r w:rsidRPr="008870AA">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9"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lastRenderedPageBreak/>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324A1C2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85337">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9"/>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107829582"/>
      <w:r w:rsidRPr="008870AA">
        <w:rPr>
          <w:rFonts w:asciiTheme="minorHAnsi" w:hAnsiTheme="minorHAnsi" w:cstheme="minorHAnsi"/>
          <w:b/>
          <w:bCs/>
          <w:sz w:val="22"/>
          <w:szCs w:val="22"/>
        </w:rPr>
        <w:t>XXI. Wymagania dotyczące zabezpieczenia należytego wykonania umowy.</w:t>
      </w:r>
      <w:bookmarkEnd w:id="50"/>
    </w:p>
    <w:p w14:paraId="415474F1" w14:textId="7A811A32"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Pr="008870AA">
        <w:rPr>
          <w:rFonts w:asciiTheme="minorHAnsi" w:hAnsiTheme="minorHAnsi" w:cstheme="minorHAnsi"/>
          <w:b/>
          <w:bCs/>
        </w:rPr>
        <w:t>5 %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Zabezpieczenie wnoszone w pieniądzu Wykonawca wpłaca przelewem na wskazany przez Zamawiającego rachunek bankowy (rachunek taki sam, jak dla wniesienia wadium w formie pieniądza). Wniesienie </w:t>
      </w:r>
      <w:r w:rsidRPr="008870AA">
        <w:rPr>
          <w:rFonts w:asciiTheme="minorHAnsi" w:hAnsiTheme="minorHAnsi" w:cstheme="minorHAnsi"/>
        </w:rPr>
        <w:lastRenderedPageBreak/>
        <w:t>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107829583"/>
      <w:r w:rsidRPr="008870AA">
        <w:rPr>
          <w:rFonts w:asciiTheme="minorHAnsi" w:hAnsiTheme="minorHAnsi" w:cstheme="minorHAnsi"/>
          <w:b/>
          <w:bCs/>
          <w:sz w:val="24"/>
          <w:szCs w:val="24"/>
        </w:rPr>
        <w:t>XXII. Informacje o formalnościach, jakie powinny być dopełnione po wyborze oferty w celu zawarcia umowy</w:t>
      </w:r>
      <w:bookmarkEnd w:id="51"/>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2" w:name="_Toc107829584"/>
      <w:r w:rsidRPr="008870AA">
        <w:rPr>
          <w:rFonts w:asciiTheme="minorHAnsi" w:hAnsiTheme="minorHAnsi" w:cstheme="minorHAnsi"/>
          <w:b/>
          <w:bCs/>
          <w:sz w:val="24"/>
          <w:szCs w:val="24"/>
        </w:rPr>
        <w:t>XXIII. Informacje o treści zawieranej umowy oraz możliwości jej zmiany</w:t>
      </w:r>
      <w:bookmarkEnd w:id="52"/>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236EE3D2" w14:textId="6C526BA2" w:rsidR="00F87BDC" w:rsidRPr="00960F1B" w:rsidRDefault="008870AA" w:rsidP="00960F1B">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Toc107829585"/>
      <w:r w:rsidRPr="008870AA">
        <w:rPr>
          <w:rFonts w:asciiTheme="minorHAnsi" w:hAnsiTheme="minorHAnsi" w:cstheme="minorHAnsi"/>
          <w:b/>
          <w:bCs/>
          <w:sz w:val="22"/>
          <w:szCs w:val="22"/>
        </w:rPr>
        <w:lastRenderedPageBreak/>
        <w:t>XXIV. Pouczenie o środkach ochrony prawnej przysługujących Wykonawcy</w:t>
      </w:r>
      <w:bookmarkEnd w:id="53"/>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Start w:id="55" w:name="_Toc107829586"/>
      <w:bookmarkEnd w:id="54"/>
      <w:r w:rsidRPr="008870AA">
        <w:rPr>
          <w:rFonts w:asciiTheme="minorHAnsi" w:hAnsiTheme="minorHAnsi" w:cstheme="minorHAnsi"/>
          <w:b/>
          <w:bCs/>
          <w:sz w:val="22"/>
          <w:szCs w:val="22"/>
        </w:rPr>
        <w:lastRenderedPageBreak/>
        <w:t>XXV. Spis załączników</w:t>
      </w:r>
      <w:bookmarkEnd w:id="55"/>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06DE7E69"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E89E" w14:textId="77777777" w:rsidR="00927AEA" w:rsidRDefault="00927AEA" w:rsidP="008870AA">
      <w:pPr>
        <w:spacing w:line="240" w:lineRule="auto"/>
      </w:pPr>
      <w:r>
        <w:separator/>
      </w:r>
    </w:p>
  </w:endnote>
  <w:endnote w:type="continuationSeparator" w:id="0">
    <w:p w14:paraId="4886BD02" w14:textId="77777777" w:rsidR="00927AEA" w:rsidRDefault="00927AEA"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8114" w14:textId="77777777" w:rsidR="00927AEA" w:rsidRDefault="00927AEA" w:rsidP="008870AA">
      <w:pPr>
        <w:spacing w:line="240" w:lineRule="auto"/>
      </w:pPr>
      <w:r>
        <w:separator/>
      </w:r>
    </w:p>
  </w:footnote>
  <w:footnote w:type="continuationSeparator" w:id="0">
    <w:p w14:paraId="1016F758" w14:textId="77777777" w:rsidR="00927AEA" w:rsidRDefault="00927AEA"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352511A6"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113D06">
      <w:rPr>
        <w:rFonts w:asciiTheme="minorHAnsi" w:hAnsiTheme="minorHAnsi" w:cstheme="minorHAnsi"/>
        <w:sz w:val="20"/>
        <w:szCs w:val="20"/>
      </w:rPr>
      <w:t>15</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4F1E4A"/>
    <w:multiLevelType w:val="hybridMultilevel"/>
    <w:tmpl w:val="8CF62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7566E6"/>
    <w:multiLevelType w:val="hybridMultilevel"/>
    <w:tmpl w:val="F11A0AF8"/>
    <w:lvl w:ilvl="0" w:tplc="5AD41354">
      <w:start w:val="1"/>
      <w:numFmt w:val="upperRoman"/>
      <w:lvlText w:val="%1."/>
      <w:lvlJc w:val="left"/>
      <w:pPr>
        <w:ind w:left="940" w:hanging="720"/>
      </w:pPr>
      <w:rPr>
        <w:rFonts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0"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6"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4"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D66CF6"/>
    <w:multiLevelType w:val="hybridMultilevel"/>
    <w:tmpl w:val="58E01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8"/>
  </w:num>
  <w:num w:numId="2" w16cid:durableId="1069309242">
    <w:abstractNumId w:val="21"/>
  </w:num>
  <w:num w:numId="3" w16cid:durableId="1151558694">
    <w:abstractNumId w:val="3"/>
  </w:num>
  <w:num w:numId="4" w16cid:durableId="2121146668">
    <w:abstractNumId w:val="47"/>
  </w:num>
  <w:num w:numId="5" w16cid:durableId="2021153379">
    <w:abstractNumId w:val="36"/>
  </w:num>
  <w:num w:numId="6" w16cid:durableId="74474843">
    <w:abstractNumId w:val="46"/>
  </w:num>
  <w:num w:numId="7" w16cid:durableId="378820442">
    <w:abstractNumId w:val="41"/>
  </w:num>
  <w:num w:numId="8" w16cid:durableId="10646345">
    <w:abstractNumId w:val="14"/>
  </w:num>
  <w:num w:numId="9" w16cid:durableId="452795543">
    <w:abstractNumId w:val="10"/>
  </w:num>
  <w:num w:numId="10" w16cid:durableId="1056702684">
    <w:abstractNumId w:val="33"/>
  </w:num>
  <w:num w:numId="11" w16cid:durableId="1452360499">
    <w:abstractNumId w:val="17"/>
  </w:num>
  <w:num w:numId="12" w16cid:durableId="111361321">
    <w:abstractNumId w:val="22"/>
  </w:num>
  <w:num w:numId="13" w16cid:durableId="2896665">
    <w:abstractNumId w:val="39"/>
  </w:num>
  <w:num w:numId="14" w16cid:durableId="1527327384">
    <w:abstractNumId w:val="1"/>
  </w:num>
  <w:num w:numId="15" w16cid:durableId="304244796">
    <w:abstractNumId w:val="40"/>
  </w:num>
  <w:num w:numId="16" w16cid:durableId="658389321">
    <w:abstractNumId w:val="34"/>
  </w:num>
  <w:num w:numId="17" w16cid:durableId="157310783">
    <w:abstractNumId w:val="29"/>
  </w:num>
  <w:num w:numId="18" w16cid:durableId="1423138143">
    <w:abstractNumId w:val="24"/>
  </w:num>
  <w:num w:numId="19" w16cid:durableId="2087876343">
    <w:abstractNumId w:val="44"/>
  </w:num>
  <w:num w:numId="20" w16cid:durableId="231618385">
    <w:abstractNumId w:val="23"/>
  </w:num>
  <w:num w:numId="21" w16cid:durableId="1833983622">
    <w:abstractNumId w:val="26"/>
  </w:num>
  <w:num w:numId="22" w16cid:durableId="1233926928">
    <w:abstractNumId w:val="30"/>
  </w:num>
  <w:num w:numId="23" w16cid:durableId="355271092">
    <w:abstractNumId w:val="32"/>
  </w:num>
  <w:num w:numId="24" w16cid:durableId="1933928054">
    <w:abstractNumId w:val="42"/>
  </w:num>
  <w:num w:numId="25" w16cid:durableId="1524703767">
    <w:abstractNumId w:val="31"/>
  </w:num>
  <w:num w:numId="26" w16cid:durableId="418672938">
    <w:abstractNumId w:val="11"/>
  </w:num>
  <w:num w:numId="27" w16cid:durableId="162278437">
    <w:abstractNumId w:val="12"/>
  </w:num>
  <w:num w:numId="28" w16cid:durableId="1922175906">
    <w:abstractNumId w:val="16"/>
  </w:num>
  <w:num w:numId="29" w16cid:durableId="1276905784">
    <w:abstractNumId w:val="7"/>
  </w:num>
  <w:num w:numId="30" w16cid:durableId="1724212298">
    <w:abstractNumId w:val="28"/>
  </w:num>
  <w:num w:numId="31" w16cid:durableId="991101479">
    <w:abstractNumId w:val="18"/>
  </w:num>
  <w:num w:numId="32" w16cid:durableId="1957367239">
    <w:abstractNumId w:val="38"/>
  </w:num>
  <w:num w:numId="33" w16cid:durableId="173956736">
    <w:abstractNumId w:val="35"/>
  </w:num>
  <w:num w:numId="34" w16cid:durableId="237786939">
    <w:abstractNumId w:val="37"/>
  </w:num>
  <w:num w:numId="35" w16cid:durableId="17858024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20"/>
  </w:num>
  <w:num w:numId="39" w16cid:durableId="372845656">
    <w:abstractNumId w:val="6"/>
  </w:num>
  <w:num w:numId="40" w16cid:durableId="1479418836">
    <w:abstractNumId w:val="2"/>
  </w:num>
  <w:num w:numId="41" w16cid:durableId="16299684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3"/>
  </w:num>
  <w:num w:numId="43" w16cid:durableId="350375321">
    <w:abstractNumId w:val="19"/>
  </w:num>
  <w:num w:numId="44" w16cid:durableId="1126508695">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45" w16cid:durableId="655188542">
    <w:abstractNumId w:val="4"/>
  </w:num>
  <w:num w:numId="46" w16cid:durableId="1099444536">
    <w:abstractNumId w:val="5"/>
  </w:num>
  <w:num w:numId="47" w16cid:durableId="1536235573">
    <w:abstractNumId w:val="43"/>
  </w:num>
  <w:num w:numId="48" w16cid:durableId="784425277">
    <w:abstractNumId w:val="15"/>
  </w:num>
  <w:num w:numId="49" w16cid:durableId="1107509289">
    <w:abstractNumId w:val="9"/>
  </w:num>
  <w:num w:numId="50" w16cid:durableId="791050100">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0063"/>
    <w:rsid w:val="00031056"/>
    <w:rsid w:val="00031CF1"/>
    <w:rsid w:val="00043E4A"/>
    <w:rsid w:val="00044423"/>
    <w:rsid w:val="0004495A"/>
    <w:rsid w:val="0005175F"/>
    <w:rsid w:val="00053185"/>
    <w:rsid w:val="00060CDC"/>
    <w:rsid w:val="00081E49"/>
    <w:rsid w:val="00091A43"/>
    <w:rsid w:val="00094A07"/>
    <w:rsid w:val="000A6AF4"/>
    <w:rsid w:val="000C69D0"/>
    <w:rsid w:val="000C77A6"/>
    <w:rsid w:val="000D14A1"/>
    <w:rsid w:val="000D21F3"/>
    <w:rsid w:val="000E7830"/>
    <w:rsid w:val="00101F71"/>
    <w:rsid w:val="00103E65"/>
    <w:rsid w:val="00107067"/>
    <w:rsid w:val="00112736"/>
    <w:rsid w:val="00113D06"/>
    <w:rsid w:val="00120BB0"/>
    <w:rsid w:val="00135555"/>
    <w:rsid w:val="001478A7"/>
    <w:rsid w:val="00156AF4"/>
    <w:rsid w:val="001677B3"/>
    <w:rsid w:val="001767F9"/>
    <w:rsid w:val="0018210F"/>
    <w:rsid w:val="00185337"/>
    <w:rsid w:val="001A0570"/>
    <w:rsid w:val="001B3328"/>
    <w:rsid w:val="001B7876"/>
    <w:rsid w:val="001C0A5A"/>
    <w:rsid w:val="001F181C"/>
    <w:rsid w:val="001F2FF1"/>
    <w:rsid w:val="00204865"/>
    <w:rsid w:val="00217B83"/>
    <w:rsid w:val="00220671"/>
    <w:rsid w:val="00230688"/>
    <w:rsid w:val="002331FE"/>
    <w:rsid w:val="00235E15"/>
    <w:rsid w:val="002401B6"/>
    <w:rsid w:val="002411C2"/>
    <w:rsid w:val="00245D88"/>
    <w:rsid w:val="0026506F"/>
    <w:rsid w:val="002864F5"/>
    <w:rsid w:val="002871A3"/>
    <w:rsid w:val="00292820"/>
    <w:rsid w:val="00296A44"/>
    <w:rsid w:val="00297766"/>
    <w:rsid w:val="002D15D6"/>
    <w:rsid w:val="002D4F56"/>
    <w:rsid w:val="002D6811"/>
    <w:rsid w:val="002E39C4"/>
    <w:rsid w:val="0030371C"/>
    <w:rsid w:val="00304225"/>
    <w:rsid w:val="00311772"/>
    <w:rsid w:val="00311B20"/>
    <w:rsid w:val="00320FE1"/>
    <w:rsid w:val="00323450"/>
    <w:rsid w:val="00336B79"/>
    <w:rsid w:val="00351585"/>
    <w:rsid w:val="00360B09"/>
    <w:rsid w:val="00361462"/>
    <w:rsid w:val="00392D2A"/>
    <w:rsid w:val="00393083"/>
    <w:rsid w:val="003A2033"/>
    <w:rsid w:val="003A65C0"/>
    <w:rsid w:val="003B3F16"/>
    <w:rsid w:val="003B634F"/>
    <w:rsid w:val="003B7459"/>
    <w:rsid w:val="003D4692"/>
    <w:rsid w:val="003D56D2"/>
    <w:rsid w:val="003D7BB7"/>
    <w:rsid w:val="003E0CA5"/>
    <w:rsid w:val="003E39FC"/>
    <w:rsid w:val="003E3E74"/>
    <w:rsid w:val="00403F6A"/>
    <w:rsid w:val="00435871"/>
    <w:rsid w:val="0043670B"/>
    <w:rsid w:val="004471EA"/>
    <w:rsid w:val="0047596C"/>
    <w:rsid w:val="00481C2E"/>
    <w:rsid w:val="00487D3D"/>
    <w:rsid w:val="00494791"/>
    <w:rsid w:val="004A3292"/>
    <w:rsid w:val="004B091D"/>
    <w:rsid w:val="004B7160"/>
    <w:rsid w:val="004C26A5"/>
    <w:rsid w:val="004C6E37"/>
    <w:rsid w:val="004F7D33"/>
    <w:rsid w:val="00500A00"/>
    <w:rsid w:val="00510FD9"/>
    <w:rsid w:val="00513E17"/>
    <w:rsid w:val="00533BC3"/>
    <w:rsid w:val="0053564D"/>
    <w:rsid w:val="00544842"/>
    <w:rsid w:val="00545840"/>
    <w:rsid w:val="005641F4"/>
    <w:rsid w:val="00567DD2"/>
    <w:rsid w:val="00587233"/>
    <w:rsid w:val="005950D5"/>
    <w:rsid w:val="00595D00"/>
    <w:rsid w:val="005A014E"/>
    <w:rsid w:val="005A2283"/>
    <w:rsid w:val="005A738A"/>
    <w:rsid w:val="005B0E91"/>
    <w:rsid w:val="005B19AF"/>
    <w:rsid w:val="005C39DE"/>
    <w:rsid w:val="005E1D15"/>
    <w:rsid w:val="005F05D5"/>
    <w:rsid w:val="005F065A"/>
    <w:rsid w:val="005F5E33"/>
    <w:rsid w:val="00607E2D"/>
    <w:rsid w:val="006101ED"/>
    <w:rsid w:val="00625026"/>
    <w:rsid w:val="00626D6B"/>
    <w:rsid w:val="0063784B"/>
    <w:rsid w:val="006506A6"/>
    <w:rsid w:val="006628D2"/>
    <w:rsid w:val="006709E7"/>
    <w:rsid w:val="0067157B"/>
    <w:rsid w:val="00680055"/>
    <w:rsid w:val="006939C2"/>
    <w:rsid w:val="006942A8"/>
    <w:rsid w:val="00697C0A"/>
    <w:rsid w:val="006B2602"/>
    <w:rsid w:val="006B3CF6"/>
    <w:rsid w:val="006E1A4E"/>
    <w:rsid w:val="006E1A86"/>
    <w:rsid w:val="006E2E3E"/>
    <w:rsid w:val="006E7876"/>
    <w:rsid w:val="006F445F"/>
    <w:rsid w:val="006F74B6"/>
    <w:rsid w:val="00701633"/>
    <w:rsid w:val="00703E25"/>
    <w:rsid w:val="007110FB"/>
    <w:rsid w:val="00715F38"/>
    <w:rsid w:val="00717272"/>
    <w:rsid w:val="00723DE2"/>
    <w:rsid w:val="007279C9"/>
    <w:rsid w:val="00764A11"/>
    <w:rsid w:val="007769DC"/>
    <w:rsid w:val="007800A9"/>
    <w:rsid w:val="00791998"/>
    <w:rsid w:val="00793143"/>
    <w:rsid w:val="007A17B9"/>
    <w:rsid w:val="007A7FB8"/>
    <w:rsid w:val="007B261F"/>
    <w:rsid w:val="007B6B0F"/>
    <w:rsid w:val="007C4968"/>
    <w:rsid w:val="007D6272"/>
    <w:rsid w:val="007E4877"/>
    <w:rsid w:val="007E73AC"/>
    <w:rsid w:val="007F359B"/>
    <w:rsid w:val="008264E3"/>
    <w:rsid w:val="00835CAF"/>
    <w:rsid w:val="00850178"/>
    <w:rsid w:val="00850910"/>
    <w:rsid w:val="0085093C"/>
    <w:rsid w:val="008509B7"/>
    <w:rsid w:val="00854EF6"/>
    <w:rsid w:val="00857B2A"/>
    <w:rsid w:val="00866103"/>
    <w:rsid w:val="0087614B"/>
    <w:rsid w:val="00885580"/>
    <w:rsid w:val="0088680C"/>
    <w:rsid w:val="008870AA"/>
    <w:rsid w:val="0089362D"/>
    <w:rsid w:val="00897BB5"/>
    <w:rsid w:val="008A37CD"/>
    <w:rsid w:val="008A7058"/>
    <w:rsid w:val="008E0673"/>
    <w:rsid w:val="008E2A0A"/>
    <w:rsid w:val="008E4316"/>
    <w:rsid w:val="00927AEA"/>
    <w:rsid w:val="00927FBF"/>
    <w:rsid w:val="00930D2E"/>
    <w:rsid w:val="00931D79"/>
    <w:rsid w:val="00933941"/>
    <w:rsid w:val="009429AE"/>
    <w:rsid w:val="00951EB6"/>
    <w:rsid w:val="0096065D"/>
    <w:rsid w:val="00960F1B"/>
    <w:rsid w:val="00972E16"/>
    <w:rsid w:val="00987D24"/>
    <w:rsid w:val="009A234A"/>
    <w:rsid w:val="009A4892"/>
    <w:rsid w:val="009C66CF"/>
    <w:rsid w:val="009E1A40"/>
    <w:rsid w:val="009F5D8E"/>
    <w:rsid w:val="009F61EF"/>
    <w:rsid w:val="00A55B7B"/>
    <w:rsid w:val="00A6491C"/>
    <w:rsid w:val="00A65A72"/>
    <w:rsid w:val="00A83A63"/>
    <w:rsid w:val="00A849BC"/>
    <w:rsid w:val="00A913DE"/>
    <w:rsid w:val="00A94A09"/>
    <w:rsid w:val="00AB1B91"/>
    <w:rsid w:val="00AB7F95"/>
    <w:rsid w:val="00AC04F9"/>
    <w:rsid w:val="00AE256A"/>
    <w:rsid w:val="00AF1F40"/>
    <w:rsid w:val="00AF36E0"/>
    <w:rsid w:val="00AF5291"/>
    <w:rsid w:val="00B009C7"/>
    <w:rsid w:val="00B01BAA"/>
    <w:rsid w:val="00B02E9C"/>
    <w:rsid w:val="00B062F4"/>
    <w:rsid w:val="00B14625"/>
    <w:rsid w:val="00B26D20"/>
    <w:rsid w:val="00B309EE"/>
    <w:rsid w:val="00B32DB1"/>
    <w:rsid w:val="00B42351"/>
    <w:rsid w:val="00B435DA"/>
    <w:rsid w:val="00B532E1"/>
    <w:rsid w:val="00B5675D"/>
    <w:rsid w:val="00B613BE"/>
    <w:rsid w:val="00B63403"/>
    <w:rsid w:val="00B909EA"/>
    <w:rsid w:val="00BA017F"/>
    <w:rsid w:val="00BA2F84"/>
    <w:rsid w:val="00BA66DB"/>
    <w:rsid w:val="00BC757C"/>
    <w:rsid w:val="00BD054F"/>
    <w:rsid w:val="00BD2813"/>
    <w:rsid w:val="00BD391E"/>
    <w:rsid w:val="00BE50CB"/>
    <w:rsid w:val="00BF1623"/>
    <w:rsid w:val="00BF35CA"/>
    <w:rsid w:val="00C005FF"/>
    <w:rsid w:val="00C04FFE"/>
    <w:rsid w:val="00C17059"/>
    <w:rsid w:val="00C23C83"/>
    <w:rsid w:val="00C25D6C"/>
    <w:rsid w:val="00C27963"/>
    <w:rsid w:val="00C27F9F"/>
    <w:rsid w:val="00C34DDD"/>
    <w:rsid w:val="00C354B1"/>
    <w:rsid w:val="00C355D9"/>
    <w:rsid w:val="00C37C2B"/>
    <w:rsid w:val="00C448E0"/>
    <w:rsid w:val="00C53D48"/>
    <w:rsid w:val="00C61848"/>
    <w:rsid w:val="00C64A36"/>
    <w:rsid w:val="00C7070E"/>
    <w:rsid w:val="00C75CB3"/>
    <w:rsid w:val="00C7798A"/>
    <w:rsid w:val="00C80A15"/>
    <w:rsid w:val="00CA227A"/>
    <w:rsid w:val="00CB0E3C"/>
    <w:rsid w:val="00CB6C27"/>
    <w:rsid w:val="00CC779D"/>
    <w:rsid w:val="00CD3832"/>
    <w:rsid w:val="00CD3D7F"/>
    <w:rsid w:val="00CD6136"/>
    <w:rsid w:val="00CE2408"/>
    <w:rsid w:val="00CE4C17"/>
    <w:rsid w:val="00CF3094"/>
    <w:rsid w:val="00D116A6"/>
    <w:rsid w:val="00D11D1D"/>
    <w:rsid w:val="00D20B1F"/>
    <w:rsid w:val="00D32893"/>
    <w:rsid w:val="00D35176"/>
    <w:rsid w:val="00D420DA"/>
    <w:rsid w:val="00D5684A"/>
    <w:rsid w:val="00D60AB1"/>
    <w:rsid w:val="00D60D12"/>
    <w:rsid w:val="00D61D92"/>
    <w:rsid w:val="00D66130"/>
    <w:rsid w:val="00D739E9"/>
    <w:rsid w:val="00D9438C"/>
    <w:rsid w:val="00DC1E52"/>
    <w:rsid w:val="00DC7156"/>
    <w:rsid w:val="00DE365A"/>
    <w:rsid w:val="00E025ED"/>
    <w:rsid w:val="00E24987"/>
    <w:rsid w:val="00E36E74"/>
    <w:rsid w:val="00E36ECF"/>
    <w:rsid w:val="00E40F1A"/>
    <w:rsid w:val="00E41824"/>
    <w:rsid w:val="00E51A42"/>
    <w:rsid w:val="00E563E1"/>
    <w:rsid w:val="00E621AC"/>
    <w:rsid w:val="00E9033F"/>
    <w:rsid w:val="00EC4BE3"/>
    <w:rsid w:val="00ED0E75"/>
    <w:rsid w:val="00ED55A0"/>
    <w:rsid w:val="00ED702C"/>
    <w:rsid w:val="00EE0719"/>
    <w:rsid w:val="00EE12EC"/>
    <w:rsid w:val="00EE44B6"/>
    <w:rsid w:val="00EE6DEB"/>
    <w:rsid w:val="00EF0373"/>
    <w:rsid w:val="00F01449"/>
    <w:rsid w:val="00F016E3"/>
    <w:rsid w:val="00F13C47"/>
    <w:rsid w:val="00F208F9"/>
    <w:rsid w:val="00F24D6E"/>
    <w:rsid w:val="00F25413"/>
    <w:rsid w:val="00F40D0E"/>
    <w:rsid w:val="00F41AE2"/>
    <w:rsid w:val="00F51FFB"/>
    <w:rsid w:val="00F53ECA"/>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45"/>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28</Pages>
  <Words>11826</Words>
  <Characters>70962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130</cp:revision>
  <cp:lastPrinted>2022-07-22T09:16:00Z</cp:lastPrinted>
  <dcterms:created xsi:type="dcterms:W3CDTF">2021-12-01T12:49:00Z</dcterms:created>
  <dcterms:modified xsi:type="dcterms:W3CDTF">2022-09-13T10:25:00Z</dcterms:modified>
</cp:coreProperties>
</file>