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1E70" w14:textId="0D708D50" w:rsidR="006B61DE" w:rsidRPr="00A66213" w:rsidRDefault="006B61DE" w:rsidP="00A66213">
      <w:pPr>
        <w:rPr>
          <w:rFonts w:ascii="Trebuchet MS" w:hAnsi="Trebuchet MS"/>
        </w:rPr>
      </w:pPr>
      <w:r w:rsidRPr="00A66213">
        <w:rPr>
          <w:rFonts w:ascii="Trebuchet MS" w:hAnsi="Trebuchet MS"/>
          <w:b/>
          <w:bCs/>
        </w:rPr>
        <w:t>Sposób obliczania najkorzystniejszej oferty w postępowaniu pn.</w:t>
      </w:r>
    </w:p>
    <w:p w14:paraId="1D2C9677" w14:textId="6871EC85" w:rsidR="006B61DE" w:rsidRPr="00A66213" w:rsidRDefault="006B61DE" w:rsidP="00A66213">
      <w:pPr>
        <w:rPr>
          <w:rFonts w:ascii="Trebuchet MS" w:hAnsi="Trebuchet MS"/>
          <w:b/>
          <w:bCs/>
        </w:rPr>
      </w:pPr>
      <w:r w:rsidRPr="00A66213">
        <w:rPr>
          <w:rFonts w:ascii="Trebuchet MS" w:hAnsi="Trebuchet MS" w:cstheme="minorHAnsi"/>
          <w:b/>
          <w:bCs/>
          <w:i/>
          <w:iCs/>
        </w:rPr>
        <w:t xml:space="preserve">„Podniesienie poziomu cyberbezpieczeństwa w Urzędzie Miasta Bełchatowa przez dostawę sprzętu, usługi wdrożeniowe i szkoleniowe związane z realizacją projektu „Cyberbezpieczny Samorząd” Etap </w:t>
      </w:r>
      <w:r w:rsidR="00D653CC">
        <w:rPr>
          <w:rFonts w:ascii="Trebuchet MS" w:hAnsi="Trebuchet MS" w:cstheme="minorHAnsi"/>
          <w:b/>
          <w:bCs/>
          <w:i/>
          <w:iCs/>
        </w:rPr>
        <w:t>I</w:t>
      </w:r>
    </w:p>
    <w:p w14:paraId="52951CBC" w14:textId="6B1CCBE3" w:rsidR="006B61DE" w:rsidRPr="00A66213" w:rsidRDefault="006B61DE" w:rsidP="00A66213">
      <w:pPr>
        <w:rPr>
          <w:rFonts w:ascii="Trebuchet MS" w:hAnsi="Trebuchet MS"/>
          <w:b/>
          <w:bCs/>
        </w:rPr>
      </w:pPr>
      <w:r w:rsidRPr="00A66213">
        <w:rPr>
          <w:rFonts w:ascii="Trebuchet MS" w:hAnsi="Trebuchet MS"/>
          <w:b/>
          <w:bCs/>
        </w:rPr>
        <w:t xml:space="preserve">dla Części </w:t>
      </w:r>
      <w:r w:rsidR="00D653CC">
        <w:rPr>
          <w:rFonts w:ascii="Trebuchet MS" w:hAnsi="Trebuchet MS"/>
          <w:b/>
          <w:bCs/>
        </w:rPr>
        <w:t>3</w:t>
      </w:r>
      <w:r w:rsidR="0099189B" w:rsidRPr="00A66213">
        <w:rPr>
          <w:rFonts w:ascii="Trebuchet MS" w:hAnsi="Trebuchet MS"/>
          <w:b/>
          <w:bCs/>
        </w:rPr>
        <w:t xml:space="preserve"> </w:t>
      </w:r>
    </w:p>
    <w:p w14:paraId="2C44CA15" w14:textId="5297A8B0" w:rsidR="002F4BEE" w:rsidRPr="00A66213" w:rsidRDefault="002F4BEE" w:rsidP="00A66213">
      <w:pPr>
        <w:pStyle w:val="Akapitzlist"/>
        <w:numPr>
          <w:ilvl w:val="0"/>
          <w:numId w:val="33"/>
        </w:numPr>
        <w:spacing w:before="0" w:after="0" w:line="23" w:lineRule="atLeast"/>
        <w:rPr>
          <w:rFonts w:ascii="Trebuchet MS" w:hAnsi="Trebuchet MS" w:cstheme="minorHAnsi"/>
          <w:b/>
          <w:lang w:eastAsia="pl-PL"/>
        </w:rPr>
      </w:pPr>
      <w:r w:rsidRPr="00A66213">
        <w:rPr>
          <w:rFonts w:ascii="Trebuchet MS" w:hAnsi="Trebuchet MS" w:cstheme="minorHAnsi"/>
          <w:b/>
          <w:lang w:eastAsia="pl-PL"/>
        </w:rPr>
        <w:t>Kryterium „Cena” (C) – waga kryterium 60%</w:t>
      </w:r>
    </w:p>
    <w:p w14:paraId="0E4988A9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bCs/>
          <w:lang w:eastAsia="pl-PL"/>
        </w:rPr>
      </w:pPr>
      <w:r w:rsidRPr="00A66213">
        <w:rPr>
          <w:rFonts w:ascii="Trebuchet MS" w:hAnsi="Trebuchet MS" w:cstheme="minorHAnsi"/>
          <w:bCs/>
          <w:lang w:eastAsia="pl-PL"/>
        </w:rPr>
        <w:t>Kryterium to rozpatrywane będzie na podstawie ceny brutto za wykonanie przedmiotu zamówienia podanej przez Wykonawcę w Formularzu ofertowym.</w:t>
      </w:r>
    </w:p>
    <w:p w14:paraId="175C434C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Cs/>
          <w:lang w:eastAsia="pl-PL"/>
        </w:rPr>
        <w:t xml:space="preserve">Liczba punktów </w:t>
      </w:r>
      <w:r w:rsidRPr="00A66213">
        <w:rPr>
          <w:rFonts w:ascii="Trebuchet MS" w:hAnsi="Trebuchet MS" w:cstheme="minorHAnsi"/>
          <w:lang w:eastAsia="pl-PL"/>
        </w:rPr>
        <w:t>w ramach kryterium „Cena” zostanie obliczona według wzoru:</w:t>
      </w:r>
    </w:p>
    <w:p w14:paraId="498E75F4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/>
          <w:lang w:eastAsia="pl-PL"/>
        </w:rPr>
        <w:t xml:space="preserve">C = (C </w:t>
      </w:r>
      <w:r w:rsidRPr="00A66213">
        <w:rPr>
          <w:rFonts w:ascii="Trebuchet MS" w:hAnsi="Trebuchet MS" w:cstheme="minorHAnsi"/>
          <w:b/>
          <w:vertAlign w:val="subscript"/>
          <w:lang w:eastAsia="pl-PL"/>
        </w:rPr>
        <w:t>min</w:t>
      </w:r>
      <w:r w:rsidRPr="00A66213">
        <w:rPr>
          <w:rFonts w:ascii="Trebuchet MS" w:hAnsi="Trebuchet MS" w:cstheme="minorHAnsi"/>
          <w:b/>
          <w:lang w:eastAsia="pl-PL"/>
        </w:rPr>
        <w:t>/ C</w:t>
      </w:r>
      <w:r w:rsidRPr="00A66213">
        <w:rPr>
          <w:rFonts w:ascii="Trebuchet MS" w:hAnsi="Trebuchet MS" w:cstheme="minorHAnsi"/>
          <w:b/>
          <w:vertAlign w:val="subscript"/>
          <w:lang w:eastAsia="pl-PL"/>
        </w:rPr>
        <w:t>o</w:t>
      </w:r>
      <w:r w:rsidRPr="00A66213">
        <w:rPr>
          <w:rFonts w:ascii="Trebuchet MS" w:hAnsi="Trebuchet MS" w:cstheme="minorHAnsi"/>
          <w:b/>
          <w:lang w:eastAsia="pl-PL"/>
        </w:rPr>
        <w:t>) x 60</w:t>
      </w:r>
    </w:p>
    <w:p w14:paraId="794FE615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b/>
          <w:lang w:eastAsia="pl-PL"/>
        </w:rPr>
      </w:pPr>
      <w:r w:rsidRPr="00A66213">
        <w:rPr>
          <w:rFonts w:ascii="Trebuchet MS" w:hAnsi="Trebuchet MS" w:cstheme="minorHAnsi"/>
          <w:b/>
          <w:lang w:eastAsia="pl-PL"/>
        </w:rPr>
        <w:t>gdzie:</w:t>
      </w:r>
    </w:p>
    <w:p w14:paraId="093AA8AC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/>
          <w:lang w:eastAsia="pl-PL"/>
        </w:rPr>
        <w:t>C</w:t>
      </w:r>
      <w:r w:rsidRPr="00A66213">
        <w:rPr>
          <w:rFonts w:ascii="Trebuchet MS" w:hAnsi="Trebuchet MS" w:cstheme="minorHAnsi"/>
          <w:b/>
          <w:lang w:eastAsia="pl-PL"/>
        </w:rPr>
        <w:tab/>
      </w:r>
      <w:r w:rsidRPr="00A66213">
        <w:rPr>
          <w:rFonts w:ascii="Trebuchet MS" w:hAnsi="Trebuchet MS" w:cstheme="minorHAnsi"/>
          <w:lang w:eastAsia="pl-PL"/>
        </w:rPr>
        <w:t>– liczba przyznanych punktów ofercie badanej w kryterium „Cena”</w:t>
      </w:r>
    </w:p>
    <w:p w14:paraId="2A657779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/>
          <w:lang w:eastAsia="pl-PL"/>
        </w:rPr>
        <w:t>C</w:t>
      </w:r>
      <w:r w:rsidRPr="00A66213">
        <w:rPr>
          <w:rFonts w:ascii="Trebuchet MS" w:hAnsi="Trebuchet MS" w:cstheme="minorHAnsi"/>
          <w:b/>
          <w:vertAlign w:val="subscript"/>
          <w:lang w:eastAsia="pl-PL"/>
        </w:rPr>
        <w:t>min</w:t>
      </w:r>
      <w:r w:rsidRPr="00A66213">
        <w:rPr>
          <w:rFonts w:ascii="Trebuchet MS" w:hAnsi="Trebuchet MS" w:cstheme="minorHAnsi"/>
          <w:b/>
          <w:lang w:eastAsia="pl-PL"/>
        </w:rPr>
        <w:t xml:space="preserve"> </w:t>
      </w:r>
      <w:r w:rsidRPr="00A66213">
        <w:rPr>
          <w:rFonts w:ascii="Trebuchet MS" w:hAnsi="Trebuchet MS" w:cstheme="minorHAnsi"/>
          <w:lang w:eastAsia="pl-PL"/>
        </w:rPr>
        <w:t xml:space="preserve"> </w:t>
      </w:r>
      <w:r w:rsidRPr="00A66213">
        <w:rPr>
          <w:rFonts w:ascii="Trebuchet MS" w:hAnsi="Trebuchet MS" w:cstheme="minorHAnsi"/>
          <w:lang w:eastAsia="pl-PL"/>
        </w:rPr>
        <w:tab/>
        <w:t>– cena brutto oferty najtańszej [zł]</w:t>
      </w:r>
    </w:p>
    <w:p w14:paraId="11A51E26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/>
          <w:lang w:eastAsia="pl-PL"/>
        </w:rPr>
        <w:t>C</w:t>
      </w:r>
      <w:r w:rsidRPr="00A66213">
        <w:rPr>
          <w:rFonts w:ascii="Trebuchet MS" w:hAnsi="Trebuchet MS" w:cstheme="minorHAnsi"/>
          <w:b/>
          <w:vertAlign w:val="subscript"/>
          <w:lang w:eastAsia="pl-PL"/>
        </w:rPr>
        <w:t>o</w:t>
      </w:r>
      <w:r w:rsidRPr="00A66213">
        <w:rPr>
          <w:rFonts w:ascii="Trebuchet MS" w:hAnsi="Trebuchet MS" w:cstheme="minorHAnsi"/>
          <w:vertAlign w:val="subscript"/>
          <w:lang w:eastAsia="pl-PL"/>
        </w:rPr>
        <w:t xml:space="preserve"> </w:t>
      </w:r>
      <w:r w:rsidRPr="00A66213">
        <w:rPr>
          <w:rFonts w:ascii="Trebuchet MS" w:hAnsi="Trebuchet MS" w:cstheme="minorHAnsi"/>
          <w:lang w:eastAsia="pl-PL"/>
        </w:rPr>
        <w:t xml:space="preserve">     </w:t>
      </w:r>
      <w:r w:rsidRPr="00A66213">
        <w:rPr>
          <w:rFonts w:ascii="Trebuchet MS" w:hAnsi="Trebuchet MS" w:cstheme="minorHAnsi"/>
          <w:lang w:eastAsia="pl-PL"/>
        </w:rPr>
        <w:tab/>
        <w:t>– cena brutto oferty badanej [zł]</w:t>
      </w:r>
    </w:p>
    <w:p w14:paraId="26E7E607" w14:textId="331533D0" w:rsidR="004B57F2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color w:val="FF0000"/>
        </w:rPr>
      </w:pPr>
      <w:r w:rsidRPr="00A66213">
        <w:rPr>
          <w:rFonts w:ascii="Trebuchet MS" w:hAnsi="Trebuchet MS" w:cstheme="minorHAnsi"/>
          <w:lang w:eastAsia="pl-PL"/>
        </w:rPr>
        <w:t xml:space="preserve">Maksymalna liczba punktów, które </w:t>
      </w:r>
      <w:r w:rsidR="0099189B" w:rsidRPr="00A66213">
        <w:rPr>
          <w:rFonts w:ascii="Trebuchet MS" w:hAnsi="Trebuchet MS" w:cstheme="minorHAnsi"/>
          <w:lang w:eastAsia="pl-PL"/>
        </w:rPr>
        <w:t>W</w:t>
      </w:r>
      <w:r w:rsidRPr="00A66213">
        <w:rPr>
          <w:rFonts w:ascii="Trebuchet MS" w:hAnsi="Trebuchet MS" w:cstheme="minorHAnsi"/>
          <w:lang w:eastAsia="pl-PL"/>
        </w:rPr>
        <w:t>ykonawca może uzyskać w kryterium</w:t>
      </w:r>
      <w:r w:rsidRPr="00A66213">
        <w:rPr>
          <w:rFonts w:ascii="Trebuchet MS" w:hAnsi="Trebuchet MS" w:cstheme="minorHAnsi"/>
          <w:bCs/>
          <w:lang w:eastAsia="pl-PL"/>
        </w:rPr>
        <w:t xml:space="preserve"> „Cena” (C)</w:t>
      </w:r>
      <w:r w:rsidRPr="00A66213">
        <w:rPr>
          <w:rFonts w:ascii="Trebuchet MS" w:hAnsi="Trebuchet MS" w:cstheme="minorHAnsi"/>
          <w:lang w:eastAsia="pl-PL"/>
        </w:rPr>
        <w:t xml:space="preserve"> wynosi </w:t>
      </w:r>
      <w:r w:rsidRPr="00A66213">
        <w:rPr>
          <w:rFonts w:ascii="Trebuchet MS" w:hAnsi="Trebuchet MS" w:cstheme="minorHAnsi"/>
          <w:b/>
          <w:bCs/>
          <w:lang w:eastAsia="pl-PL"/>
        </w:rPr>
        <w:t>60 punktów.</w:t>
      </w:r>
      <w:r w:rsidRPr="00A66213">
        <w:rPr>
          <w:rFonts w:ascii="Trebuchet MS" w:hAnsi="Trebuchet MS" w:cstheme="minorHAnsi"/>
          <w:lang w:eastAsia="pl-PL"/>
        </w:rPr>
        <w:t xml:space="preserve"> Wszystkie obliczenia punktów będą dokonywane z dokładnością do dwóch miejsc po przecinku, bez zaokrągleń. </w:t>
      </w:r>
    </w:p>
    <w:p w14:paraId="3E479AE0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color w:val="FF0000"/>
          <w:lang w:eastAsia="pl-PL"/>
        </w:rPr>
      </w:pPr>
      <w:r w:rsidRPr="00A66213">
        <w:rPr>
          <w:rFonts w:ascii="Trebuchet MS" w:hAnsi="Trebuchet MS" w:cstheme="minorHAnsi"/>
          <w:color w:val="FF0000"/>
          <w:lang w:eastAsia="pl-PL"/>
        </w:rPr>
        <w:t xml:space="preserve"> </w:t>
      </w:r>
    </w:p>
    <w:p w14:paraId="5C0D56D8" w14:textId="4C9AB3D6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b/>
          <w:bCs/>
          <w:lang w:eastAsia="pl-PL"/>
        </w:rPr>
      </w:pPr>
      <w:r w:rsidRPr="00A66213">
        <w:rPr>
          <w:rFonts w:ascii="Trebuchet MS" w:hAnsi="Trebuchet MS" w:cstheme="minorHAnsi"/>
          <w:b/>
          <w:bCs/>
          <w:lang w:eastAsia="pl-PL"/>
        </w:rPr>
        <w:t>2) Kryterium „Długość okresu gwarancji</w:t>
      </w:r>
      <w:r w:rsidR="00E0189A">
        <w:rPr>
          <w:rFonts w:ascii="Trebuchet MS" w:hAnsi="Trebuchet MS" w:cstheme="minorHAnsi"/>
          <w:b/>
          <w:bCs/>
          <w:lang w:eastAsia="pl-PL"/>
        </w:rPr>
        <w:t xml:space="preserve"> i rękojmi</w:t>
      </w:r>
      <w:r w:rsidRPr="00A66213">
        <w:rPr>
          <w:rFonts w:ascii="Trebuchet MS" w:hAnsi="Trebuchet MS" w:cstheme="minorHAnsi"/>
          <w:b/>
          <w:bCs/>
          <w:lang w:eastAsia="pl-PL"/>
        </w:rPr>
        <w:t>” (G) – waga kryterium 40</w:t>
      </w:r>
    </w:p>
    <w:p w14:paraId="06C983A6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</w:p>
    <w:p w14:paraId="7BCC2F59" w14:textId="436AD33E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lang w:eastAsia="pl-PL"/>
        </w:rPr>
        <w:t xml:space="preserve">Kryterium to rozpatrywane będzie na podstawie zadeklarowanej w Formularzu ofertowym przez </w:t>
      </w:r>
      <w:r w:rsidR="004D6829" w:rsidRPr="00A66213">
        <w:rPr>
          <w:rFonts w:ascii="Trebuchet MS" w:hAnsi="Trebuchet MS" w:cstheme="minorHAnsi"/>
          <w:lang w:eastAsia="pl-PL"/>
        </w:rPr>
        <w:t>W</w:t>
      </w:r>
      <w:r w:rsidRPr="00A66213">
        <w:rPr>
          <w:rFonts w:ascii="Trebuchet MS" w:hAnsi="Trebuchet MS" w:cstheme="minorHAnsi"/>
          <w:lang w:eastAsia="pl-PL"/>
        </w:rPr>
        <w:t xml:space="preserve">ykonawcę długości okresu gwarancji </w:t>
      </w:r>
      <w:r w:rsidR="00E0189A">
        <w:rPr>
          <w:rFonts w:ascii="Trebuchet MS" w:hAnsi="Trebuchet MS" w:cstheme="minorHAnsi"/>
          <w:lang w:eastAsia="pl-PL"/>
        </w:rPr>
        <w:t xml:space="preserve">i rękojmi </w:t>
      </w:r>
      <w:r w:rsidRPr="00A66213">
        <w:rPr>
          <w:rFonts w:ascii="Trebuchet MS" w:hAnsi="Trebuchet MS" w:cstheme="minorHAnsi"/>
          <w:lang w:eastAsia="pl-PL"/>
        </w:rPr>
        <w:t xml:space="preserve">podanej w pełnych miesiącach. Najkrótszy możliwy okres gwarancji </w:t>
      </w:r>
      <w:r w:rsidR="00E0189A">
        <w:rPr>
          <w:rFonts w:ascii="Trebuchet MS" w:hAnsi="Trebuchet MS" w:cstheme="minorHAnsi"/>
          <w:lang w:eastAsia="pl-PL"/>
        </w:rPr>
        <w:t xml:space="preserve">i rękojmi </w:t>
      </w:r>
      <w:r w:rsidRPr="00A66213">
        <w:rPr>
          <w:rFonts w:ascii="Trebuchet MS" w:hAnsi="Trebuchet MS" w:cstheme="minorHAnsi"/>
          <w:lang w:eastAsia="pl-PL"/>
        </w:rPr>
        <w:t xml:space="preserve">udzielonej przez Wykonawcę to </w:t>
      </w:r>
      <w:r w:rsidRPr="00A66213">
        <w:rPr>
          <w:rFonts w:ascii="Trebuchet MS" w:hAnsi="Trebuchet MS" w:cstheme="minorHAnsi"/>
          <w:b/>
          <w:bCs/>
          <w:lang w:eastAsia="pl-PL"/>
        </w:rPr>
        <w:t>minimum 36 miesięcy</w:t>
      </w:r>
      <w:r w:rsidRPr="00A66213">
        <w:rPr>
          <w:rFonts w:ascii="Trebuchet MS" w:hAnsi="Trebuchet MS" w:cstheme="minorHAnsi"/>
          <w:lang w:eastAsia="pl-PL"/>
        </w:rPr>
        <w:t>.</w:t>
      </w:r>
    </w:p>
    <w:p w14:paraId="63416470" w14:textId="2847ABB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lang w:eastAsia="pl-PL"/>
        </w:rPr>
      </w:pPr>
      <w:r w:rsidRPr="00A66213">
        <w:rPr>
          <w:rFonts w:ascii="Trebuchet MS" w:hAnsi="Trebuchet MS" w:cstheme="minorHAnsi"/>
          <w:lang w:eastAsia="pl-PL"/>
        </w:rPr>
        <w:t>Zadeklarowanie okresu gwarancji</w:t>
      </w:r>
      <w:bookmarkStart w:id="0" w:name="_Hlk183677578"/>
      <w:r w:rsidRPr="00A66213">
        <w:rPr>
          <w:rFonts w:ascii="Trebuchet MS" w:hAnsi="Trebuchet MS" w:cstheme="minorHAnsi"/>
          <w:lang w:eastAsia="pl-PL"/>
        </w:rPr>
        <w:t xml:space="preserve"> </w:t>
      </w:r>
      <w:r w:rsidR="00E0189A">
        <w:rPr>
          <w:rFonts w:ascii="Trebuchet MS" w:hAnsi="Trebuchet MS" w:cstheme="minorHAnsi"/>
          <w:lang w:eastAsia="pl-PL"/>
        </w:rPr>
        <w:t xml:space="preserve">i rękojmi </w:t>
      </w:r>
      <w:bookmarkEnd w:id="0"/>
      <w:r w:rsidRPr="00A66213">
        <w:rPr>
          <w:rFonts w:ascii="Trebuchet MS" w:hAnsi="Trebuchet MS" w:cstheme="minorHAnsi"/>
          <w:lang w:eastAsia="pl-PL"/>
        </w:rPr>
        <w:t>krótszego niż 36 miesięcy będzie skutkowało odrzuceniem oferty złożonej przez wykonawcę. Najdłuższy możliwy okres gwarancji</w:t>
      </w:r>
      <w:r w:rsidR="00E0189A">
        <w:rPr>
          <w:rFonts w:ascii="Trebuchet MS" w:hAnsi="Trebuchet MS" w:cstheme="minorHAnsi"/>
          <w:lang w:eastAsia="pl-PL"/>
        </w:rPr>
        <w:t xml:space="preserve"> i rękojmi</w:t>
      </w:r>
      <w:r w:rsidRPr="00A66213">
        <w:rPr>
          <w:rFonts w:ascii="Trebuchet MS" w:hAnsi="Trebuchet MS" w:cstheme="minorHAnsi"/>
          <w:lang w:eastAsia="pl-PL"/>
        </w:rPr>
        <w:t xml:space="preserve"> udzielonej przez wykonawcę to 60 miesięcy. </w:t>
      </w:r>
      <w:r w:rsidR="00A66213" w:rsidRPr="00A66213">
        <w:rPr>
          <w:rFonts w:ascii="Trebuchet MS" w:hAnsi="Trebuchet MS" w:cstheme="minorHAnsi"/>
          <w:lang w:eastAsia="pl-PL"/>
        </w:rPr>
        <w:br/>
      </w:r>
      <w:r w:rsidRPr="00A66213">
        <w:rPr>
          <w:rFonts w:ascii="Trebuchet MS" w:hAnsi="Trebuchet MS" w:cstheme="minorHAnsi"/>
          <w:lang w:eastAsia="pl-PL"/>
        </w:rPr>
        <w:t xml:space="preserve">W przypadku, gdy </w:t>
      </w:r>
      <w:r w:rsidR="00F56E89" w:rsidRPr="00A66213">
        <w:rPr>
          <w:rFonts w:ascii="Trebuchet MS" w:hAnsi="Trebuchet MS" w:cstheme="minorHAnsi"/>
          <w:lang w:eastAsia="pl-PL"/>
        </w:rPr>
        <w:t>W</w:t>
      </w:r>
      <w:r w:rsidRPr="00A66213">
        <w:rPr>
          <w:rFonts w:ascii="Trebuchet MS" w:hAnsi="Trebuchet MS" w:cstheme="minorHAnsi"/>
          <w:lang w:eastAsia="pl-PL"/>
        </w:rPr>
        <w:t>ykonawca zadeklaruje okres gwarancji</w:t>
      </w:r>
      <w:r w:rsidR="00E0189A" w:rsidRPr="00A66213">
        <w:rPr>
          <w:rFonts w:ascii="Trebuchet MS" w:hAnsi="Trebuchet MS" w:cstheme="minorHAnsi"/>
          <w:lang w:eastAsia="pl-PL"/>
        </w:rPr>
        <w:t xml:space="preserve"> </w:t>
      </w:r>
      <w:r w:rsidR="00E0189A">
        <w:rPr>
          <w:rFonts w:ascii="Trebuchet MS" w:hAnsi="Trebuchet MS" w:cstheme="minorHAnsi"/>
          <w:lang w:eastAsia="pl-PL"/>
        </w:rPr>
        <w:t>i rękojmi</w:t>
      </w:r>
      <w:r w:rsidRPr="00A66213">
        <w:rPr>
          <w:rFonts w:ascii="Trebuchet MS" w:hAnsi="Trebuchet MS" w:cstheme="minorHAnsi"/>
          <w:lang w:eastAsia="pl-PL"/>
        </w:rPr>
        <w:t xml:space="preserve"> dłuższy niż 60 miesięcy, </w:t>
      </w:r>
      <w:r w:rsidRPr="00A66213">
        <w:rPr>
          <w:rFonts w:ascii="Trebuchet MS" w:hAnsi="Trebuchet MS" w:cstheme="minorHAnsi"/>
          <w:lang w:eastAsia="pl-PL"/>
        </w:rPr>
        <w:br/>
        <w:t xml:space="preserve">do oceny oferty zostanie przyjęty okres 60 miesięcy. </w:t>
      </w:r>
    </w:p>
    <w:p w14:paraId="47CF13CB" w14:textId="477B9F0F" w:rsidR="00590C58" w:rsidRPr="00A66213" w:rsidRDefault="00590C58" w:rsidP="00A66213">
      <w:pPr>
        <w:spacing w:before="0" w:after="0" w:line="23" w:lineRule="atLeast"/>
        <w:contextualSpacing/>
        <w:rPr>
          <w:rFonts w:ascii="Trebuchet MS" w:hAnsi="Trebuchet MS" w:cstheme="minorHAnsi"/>
          <w:b/>
          <w:bCs/>
        </w:rPr>
      </w:pPr>
      <w:r w:rsidRPr="00A66213">
        <w:rPr>
          <w:rFonts w:ascii="Trebuchet MS" w:hAnsi="Trebuchet MS" w:cstheme="minorHAnsi"/>
          <w:b/>
          <w:bCs/>
        </w:rPr>
        <w:t>W przypadku niewskazania przez Wykonawcę w formularzu ofertowym oferowanego okresu gwarancji</w:t>
      </w:r>
      <w:r w:rsidR="00E0189A">
        <w:rPr>
          <w:rFonts w:ascii="Trebuchet MS" w:hAnsi="Trebuchet MS" w:cstheme="minorHAnsi"/>
          <w:b/>
          <w:bCs/>
        </w:rPr>
        <w:t xml:space="preserve"> </w:t>
      </w:r>
      <w:r w:rsidR="00E0189A" w:rsidRPr="00E0189A">
        <w:rPr>
          <w:rFonts w:ascii="Trebuchet MS" w:hAnsi="Trebuchet MS" w:cstheme="minorHAnsi"/>
          <w:b/>
          <w:bCs/>
        </w:rPr>
        <w:t>i rękojmi</w:t>
      </w:r>
      <w:r w:rsidRPr="00A66213">
        <w:rPr>
          <w:rFonts w:ascii="Trebuchet MS" w:hAnsi="Trebuchet MS" w:cstheme="minorHAnsi"/>
          <w:b/>
          <w:bCs/>
        </w:rPr>
        <w:t>, oferta zostanie odrzucona.</w:t>
      </w:r>
    </w:p>
    <w:p w14:paraId="6699BEE3" w14:textId="77777777" w:rsidR="00590C58" w:rsidRPr="00A66213" w:rsidRDefault="00590C58" w:rsidP="00A66213">
      <w:pPr>
        <w:spacing w:before="0" w:after="0" w:line="23" w:lineRule="atLeast"/>
        <w:contextualSpacing/>
        <w:rPr>
          <w:rFonts w:ascii="Trebuchet MS" w:hAnsi="Trebuchet MS" w:cstheme="minorHAnsi"/>
          <w:lang w:eastAsia="pl-PL"/>
        </w:rPr>
      </w:pPr>
    </w:p>
    <w:p w14:paraId="2EA04DBF" w14:textId="2F81AB0E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lang w:eastAsia="pl-PL"/>
        </w:rPr>
      </w:pPr>
      <w:r w:rsidRPr="00A66213">
        <w:rPr>
          <w:rFonts w:ascii="Trebuchet MS" w:hAnsi="Trebuchet MS" w:cstheme="minorHAnsi"/>
          <w:lang w:eastAsia="pl-PL"/>
        </w:rPr>
        <w:t>Liczba punktów w ramach kryterium „Długość okresu gwarancji</w:t>
      </w:r>
      <w:r w:rsidR="00E0189A">
        <w:rPr>
          <w:rFonts w:ascii="Trebuchet MS" w:hAnsi="Trebuchet MS" w:cstheme="minorHAnsi"/>
          <w:lang w:eastAsia="pl-PL"/>
        </w:rPr>
        <w:t xml:space="preserve"> </w:t>
      </w:r>
      <w:r w:rsidR="00E0189A" w:rsidRPr="00E0189A">
        <w:rPr>
          <w:rFonts w:ascii="Trebuchet MS" w:hAnsi="Trebuchet MS" w:cstheme="minorHAnsi"/>
          <w:lang w:eastAsia="pl-PL"/>
        </w:rPr>
        <w:t>i rękojmi</w:t>
      </w:r>
      <w:r w:rsidRPr="00A66213">
        <w:rPr>
          <w:rFonts w:ascii="Trebuchet MS" w:hAnsi="Trebuchet MS" w:cstheme="minorHAnsi"/>
          <w:lang w:eastAsia="pl-PL"/>
        </w:rPr>
        <w:t xml:space="preserve">” (G) zostanie obliczona według wzoru: </w:t>
      </w:r>
    </w:p>
    <w:p w14:paraId="0864B1A9" w14:textId="4568CB5E" w:rsidR="002F4BEE" w:rsidRPr="00A66213" w:rsidRDefault="002F4BEE" w:rsidP="00A66213">
      <w:pPr>
        <w:spacing w:before="0" w:after="0" w:line="23" w:lineRule="atLeast"/>
        <w:ind w:left="2124" w:firstLine="708"/>
        <w:contextualSpacing/>
        <w:rPr>
          <w:rFonts w:ascii="Trebuchet MS" w:hAnsi="Trebuchet MS" w:cstheme="minorHAnsi"/>
          <w:b/>
          <w:bCs/>
          <w:lang w:eastAsia="zh-CN"/>
        </w:rPr>
      </w:pPr>
      <w:r w:rsidRPr="00A66213">
        <w:rPr>
          <w:rFonts w:ascii="Trebuchet MS" w:hAnsi="Trebuchet MS" w:cstheme="minorHAnsi"/>
          <w:b/>
          <w:bCs/>
          <w:lang w:eastAsia="zh-CN"/>
        </w:rPr>
        <w:t>G = (G</w:t>
      </w:r>
      <w:r w:rsidRPr="00A66213">
        <w:rPr>
          <w:rFonts w:ascii="Trebuchet MS" w:hAnsi="Trebuchet MS" w:cstheme="minorHAnsi"/>
          <w:b/>
          <w:bCs/>
          <w:vertAlign w:val="subscript"/>
          <w:lang w:eastAsia="zh-CN"/>
        </w:rPr>
        <w:t>o</w:t>
      </w:r>
      <w:r w:rsidRPr="00A66213">
        <w:rPr>
          <w:rFonts w:ascii="Trebuchet MS" w:hAnsi="Trebuchet MS" w:cstheme="minorHAnsi"/>
          <w:b/>
          <w:bCs/>
          <w:vertAlign w:val="superscript"/>
          <w:lang w:eastAsia="zh-CN"/>
        </w:rPr>
        <w:t xml:space="preserve">* </w:t>
      </w:r>
      <w:r w:rsidRPr="00A66213">
        <w:rPr>
          <w:rFonts w:ascii="Trebuchet MS" w:hAnsi="Trebuchet MS" w:cstheme="minorHAnsi"/>
          <w:b/>
          <w:bCs/>
          <w:lang w:eastAsia="zh-CN"/>
        </w:rPr>
        <w:t>/</w:t>
      </w:r>
      <w:r w:rsidRPr="00A66213">
        <w:rPr>
          <w:rFonts w:ascii="Trebuchet MS" w:hAnsi="Trebuchet MS" w:cstheme="minorHAnsi"/>
          <w:b/>
          <w:bCs/>
          <w:vertAlign w:val="subscript"/>
          <w:lang w:eastAsia="zh-CN"/>
        </w:rPr>
        <w:t xml:space="preserve"> </w:t>
      </w:r>
      <w:r w:rsidRPr="00A66213">
        <w:rPr>
          <w:rFonts w:ascii="Trebuchet MS" w:hAnsi="Trebuchet MS" w:cstheme="minorHAnsi"/>
          <w:b/>
          <w:bCs/>
          <w:lang w:eastAsia="zh-CN"/>
        </w:rPr>
        <w:t>G</w:t>
      </w:r>
      <w:r w:rsidRPr="00A66213">
        <w:rPr>
          <w:rFonts w:ascii="Trebuchet MS" w:hAnsi="Trebuchet MS" w:cstheme="minorHAnsi"/>
          <w:b/>
          <w:bCs/>
          <w:vertAlign w:val="subscript"/>
          <w:lang w:eastAsia="zh-CN"/>
        </w:rPr>
        <w:t>n</w:t>
      </w:r>
      <w:r w:rsidRPr="00A66213">
        <w:rPr>
          <w:rFonts w:ascii="Trebuchet MS" w:hAnsi="Trebuchet MS" w:cstheme="minorHAnsi"/>
          <w:b/>
          <w:bCs/>
          <w:lang w:eastAsia="zh-CN"/>
        </w:rPr>
        <w:t>)</w:t>
      </w:r>
      <w:r w:rsidRPr="00A66213">
        <w:rPr>
          <w:rFonts w:ascii="Trebuchet MS" w:hAnsi="Trebuchet MS" w:cstheme="minorHAnsi"/>
          <w:b/>
          <w:bCs/>
          <w:vertAlign w:val="subscript"/>
          <w:lang w:eastAsia="zh-CN"/>
        </w:rPr>
        <w:t xml:space="preserve"> </w:t>
      </w:r>
      <w:r w:rsidRPr="00A66213">
        <w:rPr>
          <w:rFonts w:ascii="Trebuchet MS" w:hAnsi="Trebuchet MS" w:cstheme="minorHAnsi"/>
          <w:b/>
          <w:bCs/>
          <w:lang w:eastAsia="zh-CN"/>
        </w:rPr>
        <w:t xml:space="preserve">x </w:t>
      </w:r>
      <w:r w:rsidR="009B4594" w:rsidRPr="00A66213">
        <w:rPr>
          <w:rFonts w:ascii="Trebuchet MS" w:hAnsi="Trebuchet MS" w:cstheme="minorHAnsi"/>
          <w:b/>
          <w:bCs/>
          <w:lang w:eastAsia="zh-CN"/>
        </w:rPr>
        <w:t>40</w:t>
      </w:r>
    </w:p>
    <w:p w14:paraId="1A005692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lang w:eastAsia="zh-CN"/>
        </w:rPr>
      </w:pPr>
      <w:r w:rsidRPr="00A66213">
        <w:rPr>
          <w:rFonts w:ascii="Trebuchet MS" w:hAnsi="Trebuchet MS" w:cstheme="minorHAnsi"/>
          <w:lang w:eastAsia="zh-CN"/>
        </w:rPr>
        <w:t>gdzie:</w:t>
      </w:r>
    </w:p>
    <w:p w14:paraId="1A05DF08" w14:textId="3D4CF6C3" w:rsidR="002F4BEE" w:rsidRPr="00A66213" w:rsidRDefault="002F4BEE" w:rsidP="00A66213">
      <w:pPr>
        <w:tabs>
          <w:tab w:val="left" w:pos="0"/>
          <w:tab w:val="left" w:pos="851"/>
        </w:tabs>
        <w:spacing w:before="0" w:after="0" w:line="23" w:lineRule="atLeast"/>
        <w:contextualSpacing/>
        <w:rPr>
          <w:rFonts w:ascii="Trebuchet MS" w:hAnsi="Trebuchet MS" w:cstheme="minorHAnsi"/>
          <w:b/>
          <w:bCs/>
          <w:lang w:eastAsia="zh-CN"/>
        </w:rPr>
      </w:pPr>
      <w:r w:rsidRPr="00A66213">
        <w:rPr>
          <w:rFonts w:ascii="Trebuchet MS" w:hAnsi="Trebuchet MS" w:cstheme="minorHAnsi"/>
          <w:b/>
          <w:bCs/>
          <w:lang w:eastAsia="zh-CN"/>
        </w:rPr>
        <w:t xml:space="preserve">G </w:t>
      </w:r>
      <w:r w:rsidRPr="00A66213">
        <w:rPr>
          <w:rFonts w:ascii="Trebuchet MS" w:hAnsi="Trebuchet MS" w:cstheme="minorHAnsi"/>
          <w:b/>
          <w:bCs/>
          <w:lang w:eastAsia="zh-CN"/>
        </w:rPr>
        <w:tab/>
        <w:t xml:space="preserve">- liczba punktów przyznanych badanej ofercie w kryterium „Długość okresu </w:t>
      </w:r>
      <w:r w:rsidRPr="00A66213">
        <w:rPr>
          <w:rFonts w:ascii="Trebuchet MS" w:hAnsi="Trebuchet MS" w:cstheme="minorHAnsi"/>
          <w:b/>
          <w:bCs/>
          <w:lang w:eastAsia="zh-CN"/>
        </w:rPr>
        <w:tab/>
        <w:t>gwarancji</w:t>
      </w:r>
      <w:r w:rsidR="00E0189A">
        <w:rPr>
          <w:rFonts w:ascii="Trebuchet MS" w:hAnsi="Trebuchet MS" w:cstheme="minorHAnsi"/>
          <w:b/>
          <w:bCs/>
          <w:lang w:eastAsia="zh-CN"/>
        </w:rPr>
        <w:t xml:space="preserve"> </w:t>
      </w:r>
      <w:r w:rsidR="00E0189A" w:rsidRPr="00E0189A">
        <w:rPr>
          <w:rFonts w:ascii="Trebuchet MS" w:hAnsi="Trebuchet MS" w:cstheme="minorHAnsi"/>
          <w:b/>
          <w:bCs/>
          <w:lang w:eastAsia="zh-CN"/>
        </w:rPr>
        <w:t>i rękojmi</w:t>
      </w:r>
      <w:r w:rsidRPr="00A66213">
        <w:rPr>
          <w:rFonts w:ascii="Trebuchet MS" w:hAnsi="Trebuchet MS" w:cstheme="minorHAnsi"/>
          <w:b/>
          <w:bCs/>
          <w:lang w:eastAsia="zh-CN"/>
        </w:rPr>
        <w:t xml:space="preserve">” </w:t>
      </w:r>
    </w:p>
    <w:p w14:paraId="6E49EE06" w14:textId="3B758318" w:rsidR="002F4BEE" w:rsidRPr="00A66213" w:rsidRDefault="002F4BEE" w:rsidP="00A66213">
      <w:pPr>
        <w:tabs>
          <w:tab w:val="left" w:pos="0"/>
          <w:tab w:val="left" w:pos="851"/>
        </w:tabs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/>
          <w:bCs/>
          <w:lang w:eastAsia="zh-CN"/>
        </w:rPr>
        <w:t>G</w:t>
      </w:r>
      <w:r w:rsidRPr="00A66213">
        <w:rPr>
          <w:rFonts w:ascii="Trebuchet MS" w:hAnsi="Trebuchet MS" w:cstheme="minorHAnsi"/>
          <w:b/>
          <w:bCs/>
          <w:vertAlign w:val="subscript"/>
          <w:lang w:eastAsia="zh-CN"/>
        </w:rPr>
        <w:t xml:space="preserve">o </w:t>
      </w:r>
      <w:r w:rsidRPr="00A66213">
        <w:rPr>
          <w:rFonts w:ascii="Trebuchet MS" w:hAnsi="Trebuchet MS" w:cstheme="minorHAnsi"/>
          <w:vertAlign w:val="subscript"/>
          <w:lang w:eastAsia="zh-CN"/>
        </w:rPr>
        <w:tab/>
      </w:r>
      <w:r w:rsidRPr="00A66213">
        <w:rPr>
          <w:rFonts w:ascii="Trebuchet MS" w:hAnsi="Trebuchet MS" w:cstheme="minorHAnsi"/>
          <w:lang w:eastAsia="zh-CN"/>
        </w:rPr>
        <w:t xml:space="preserve">- długość okresu gwarancji </w:t>
      </w:r>
      <w:r w:rsidR="00E0189A" w:rsidRPr="00E0189A">
        <w:rPr>
          <w:rFonts w:ascii="Trebuchet MS" w:hAnsi="Trebuchet MS" w:cstheme="minorHAnsi"/>
          <w:lang w:eastAsia="zh-CN"/>
        </w:rPr>
        <w:t xml:space="preserve">i rękojmi </w:t>
      </w:r>
      <w:r w:rsidRPr="00A66213">
        <w:rPr>
          <w:rFonts w:ascii="Trebuchet MS" w:hAnsi="Trebuchet MS" w:cstheme="minorHAnsi"/>
          <w:lang w:eastAsia="zh-CN"/>
        </w:rPr>
        <w:t>badanej oferty [miesiące]</w:t>
      </w:r>
    </w:p>
    <w:p w14:paraId="253D5E42" w14:textId="77777777" w:rsidR="002F4BEE" w:rsidRPr="00A66213" w:rsidRDefault="002F4BEE" w:rsidP="00A66213">
      <w:pPr>
        <w:tabs>
          <w:tab w:val="left" w:pos="851"/>
        </w:tabs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/>
          <w:bCs/>
          <w:lang w:eastAsia="zh-CN"/>
        </w:rPr>
        <w:t>G</w:t>
      </w:r>
      <w:r w:rsidRPr="00A66213">
        <w:rPr>
          <w:rFonts w:ascii="Trebuchet MS" w:hAnsi="Trebuchet MS" w:cstheme="minorHAnsi"/>
          <w:b/>
          <w:bCs/>
          <w:vertAlign w:val="subscript"/>
          <w:lang w:eastAsia="zh-CN"/>
        </w:rPr>
        <w:t>n</w:t>
      </w:r>
      <w:r w:rsidRPr="00A66213">
        <w:rPr>
          <w:rFonts w:ascii="Trebuchet MS" w:hAnsi="Trebuchet MS" w:cstheme="minorHAnsi"/>
          <w:vertAlign w:val="subscript"/>
          <w:lang w:eastAsia="zh-CN"/>
        </w:rPr>
        <w:t xml:space="preserve"> </w:t>
      </w:r>
      <w:r w:rsidRPr="00A66213">
        <w:rPr>
          <w:rFonts w:ascii="Trebuchet MS" w:hAnsi="Trebuchet MS" w:cstheme="minorHAnsi"/>
          <w:vertAlign w:val="subscript"/>
          <w:lang w:eastAsia="zh-CN"/>
        </w:rPr>
        <w:tab/>
      </w:r>
      <w:r w:rsidRPr="00A66213">
        <w:rPr>
          <w:rFonts w:ascii="Trebuchet MS" w:hAnsi="Trebuchet MS" w:cstheme="minorHAnsi"/>
          <w:lang w:eastAsia="zh-CN"/>
        </w:rPr>
        <w:t>- najdłuższy okres gwarancji i rękojmi spośród złożonych ofert [miesiące]</w:t>
      </w:r>
    </w:p>
    <w:p w14:paraId="3E55CA0A" w14:textId="77777777" w:rsidR="002F4BEE" w:rsidRPr="00A66213" w:rsidRDefault="002F4BEE" w:rsidP="00A66213">
      <w:pPr>
        <w:tabs>
          <w:tab w:val="left" w:pos="1440"/>
          <w:tab w:val="left" w:pos="1800"/>
        </w:tabs>
        <w:spacing w:before="0" w:after="0" w:line="23" w:lineRule="atLeast"/>
        <w:contextualSpacing/>
        <w:rPr>
          <w:rFonts w:ascii="Trebuchet MS" w:hAnsi="Trebuchet MS" w:cstheme="minorHAnsi"/>
          <w:lang w:eastAsia="zh-CN"/>
        </w:rPr>
      </w:pPr>
    </w:p>
    <w:p w14:paraId="7C34C715" w14:textId="2C31C12E" w:rsidR="002F4BEE" w:rsidRPr="00A66213" w:rsidRDefault="002F4BEE" w:rsidP="00A66213">
      <w:pPr>
        <w:tabs>
          <w:tab w:val="left" w:pos="1440"/>
          <w:tab w:val="left" w:pos="1800"/>
        </w:tabs>
        <w:spacing w:before="0" w:after="0" w:line="23" w:lineRule="atLeast"/>
        <w:contextualSpacing/>
        <w:rPr>
          <w:rFonts w:ascii="Trebuchet MS" w:hAnsi="Trebuchet MS" w:cstheme="minorHAnsi"/>
          <w:i/>
          <w:iCs/>
          <w:lang w:eastAsia="zh-CN"/>
        </w:rPr>
      </w:pPr>
      <w:r w:rsidRPr="00A66213">
        <w:rPr>
          <w:rFonts w:ascii="Trebuchet MS" w:hAnsi="Trebuchet MS" w:cstheme="minorHAnsi"/>
          <w:lang w:eastAsia="zh-CN"/>
        </w:rPr>
        <w:t>*</w:t>
      </w:r>
      <w:r w:rsidRPr="00A66213">
        <w:rPr>
          <w:rFonts w:ascii="Trebuchet MS" w:hAnsi="Trebuchet MS" w:cstheme="minorHAnsi"/>
          <w:i/>
          <w:iCs/>
          <w:lang w:eastAsia="zh-CN"/>
        </w:rPr>
        <w:t xml:space="preserve"> - okres gwarancji </w:t>
      </w:r>
      <w:r w:rsidR="00E0189A" w:rsidRPr="00E0189A">
        <w:rPr>
          <w:rFonts w:ascii="Trebuchet MS" w:hAnsi="Trebuchet MS" w:cstheme="minorHAnsi"/>
          <w:i/>
          <w:iCs/>
          <w:lang w:eastAsia="zh-CN"/>
        </w:rPr>
        <w:t xml:space="preserve">i rękojmi </w:t>
      </w:r>
      <w:r w:rsidRPr="00A66213">
        <w:rPr>
          <w:rFonts w:ascii="Trebuchet MS" w:hAnsi="Trebuchet MS" w:cstheme="minorHAnsi"/>
          <w:i/>
          <w:iCs/>
          <w:lang w:eastAsia="zh-CN"/>
        </w:rPr>
        <w:t>nie może być krótszy niż 36 miesięcy</w:t>
      </w:r>
    </w:p>
    <w:p w14:paraId="0FC66E96" w14:textId="4D6870AF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lang w:eastAsia="pl-PL"/>
        </w:rPr>
        <w:lastRenderedPageBreak/>
        <w:t xml:space="preserve">Maksymalna liczba punktów, które wykonawca może uzyskać w kryterium </w:t>
      </w:r>
      <w:r w:rsidRPr="00A66213">
        <w:rPr>
          <w:rFonts w:ascii="Trebuchet MS" w:hAnsi="Trebuchet MS" w:cstheme="minorHAnsi"/>
          <w:b/>
          <w:bCs/>
          <w:lang w:eastAsia="pl-PL"/>
        </w:rPr>
        <w:t>„Długość okresu gwarancji</w:t>
      </w:r>
      <w:r w:rsidR="00E0189A">
        <w:rPr>
          <w:rFonts w:ascii="Trebuchet MS" w:hAnsi="Trebuchet MS" w:cstheme="minorHAnsi"/>
          <w:b/>
          <w:bCs/>
          <w:lang w:eastAsia="pl-PL"/>
        </w:rPr>
        <w:t xml:space="preserve"> </w:t>
      </w:r>
      <w:r w:rsidR="00E0189A" w:rsidRPr="00E0189A">
        <w:rPr>
          <w:rFonts w:ascii="Trebuchet MS" w:hAnsi="Trebuchet MS" w:cstheme="minorHAnsi"/>
          <w:b/>
          <w:bCs/>
          <w:lang w:eastAsia="pl-PL"/>
        </w:rPr>
        <w:t>i rękojmi</w:t>
      </w:r>
      <w:r w:rsidRPr="00A66213">
        <w:rPr>
          <w:rFonts w:ascii="Trebuchet MS" w:hAnsi="Trebuchet MS" w:cstheme="minorHAnsi"/>
          <w:b/>
          <w:bCs/>
          <w:lang w:eastAsia="pl-PL"/>
        </w:rPr>
        <w:t>”</w:t>
      </w:r>
      <w:r w:rsidRPr="00A66213">
        <w:rPr>
          <w:rFonts w:ascii="Trebuchet MS" w:hAnsi="Trebuchet MS" w:cstheme="minorHAnsi"/>
          <w:lang w:eastAsia="pl-PL"/>
        </w:rPr>
        <w:t xml:space="preserve"> (G) wynosi </w:t>
      </w:r>
      <w:r w:rsidR="000E1C8D" w:rsidRPr="00A66213">
        <w:rPr>
          <w:rFonts w:ascii="Trebuchet MS" w:hAnsi="Trebuchet MS" w:cstheme="minorHAnsi"/>
          <w:lang w:eastAsia="pl-PL"/>
        </w:rPr>
        <w:t>40</w:t>
      </w:r>
      <w:r w:rsidRPr="00A66213">
        <w:rPr>
          <w:rFonts w:ascii="Trebuchet MS" w:hAnsi="Trebuchet MS" w:cstheme="minorHAnsi"/>
          <w:lang w:eastAsia="pl-PL"/>
        </w:rPr>
        <w:t xml:space="preserve"> punktów. Wszystkie obliczenia punktów będą dokonywane z dokładnością do dwóch miejsc po przecinku, bez zaokrągleń.</w:t>
      </w:r>
    </w:p>
    <w:p w14:paraId="4A8D3101" w14:textId="77777777" w:rsidR="002F4BEE" w:rsidRPr="00A66213" w:rsidRDefault="002F4BEE" w:rsidP="00A66213">
      <w:pPr>
        <w:spacing w:before="0" w:after="0" w:line="23" w:lineRule="atLeast"/>
        <w:ind w:left="2124" w:firstLine="708"/>
        <w:contextualSpacing/>
        <w:rPr>
          <w:rFonts w:ascii="Trebuchet MS" w:hAnsi="Trebuchet MS" w:cstheme="minorHAnsi"/>
          <w:b/>
          <w:bCs/>
          <w:lang w:eastAsia="zh-CN"/>
        </w:rPr>
      </w:pPr>
    </w:p>
    <w:p w14:paraId="259DDC44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lang w:eastAsia="pl-PL"/>
        </w:rPr>
      </w:pPr>
      <w:r w:rsidRPr="00A66213">
        <w:rPr>
          <w:rFonts w:ascii="Trebuchet MS" w:hAnsi="Trebuchet MS" w:cstheme="minorHAnsi"/>
          <w:lang w:eastAsia="pl-PL"/>
        </w:rPr>
        <w:t xml:space="preserve">Za najkorzystniejszą ofertę zostanie uznana oferta, która otrzyma najwyższą liczbę punktów (R) obliczoną na podstawie wzoru: </w:t>
      </w:r>
    </w:p>
    <w:p w14:paraId="124F32BA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b/>
          <w:lang w:eastAsia="pl-PL"/>
        </w:rPr>
      </w:pPr>
      <w:r w:rsidRPr="00A66213">
        <w:rPr>
          <w:rFonts w:ascii="Trebuchet MS" w:hAnsi="Trebuchet MS" w:cstheme="minorHAnsi"/>
          <w:b/>
          <w:lang w:eastAsia="pl-PL"/>
        </w:rPr>
        <w:t>R= C + G</w:t>
      </w:r>
    </w:p>
    <w:p w14:paraId="2881DB52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b/>
          <w:lang w:eastAsia="pl-PL"/>
        </w:rPr>
      </w:pPr>
      <w:r w:rsidRPr="00A66213">
        <w:rPr>
          <w:rFonts w:ascii="Trebuchet MS" w:hAnsi="Trebuchet MS" w:cstheme="minorHAnsi"/>
          <w:b/>
          <w:lang w:eastAsia="pl-PL"/>
        </w:rPr>
        <w:t>gdzie:</w:t>
      </w:r>
    </w:p>
    <w:p w14:paraId="18C7A658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/>
          <w:lang w:eastAsia="pl-PL"/>
        </w:rPr>
        <w:t xml:space="preserve">R </w:t>
      </w:r>
      <w:r w:rsidRPr="00A66213">
        <w:rPr>
          <w:rFonts w:ascii="Trebuchet MS" w:hAnsi="Trebuchet MS" w:cstheme="minorHAnsi"/>
          <w:b/>
          <w:lang w:eastAsia="pl-PL"/>
        </w:rPr>
        <w:tab/>
      </w:r>
      <w:r w:rsidRPr="00A66213">
        <w:rPr>
          <w:rFonts w:ascii="Trebuchet MS" w:hAnsi="Trebuchet MS" w:cstheme="minorHAnsi"/>
          <w:bCs/>
          <w:lang w:eastAsia="pl-PL"/>
        </w:rPr>
        <w:t>–</w:t>
      </w:r>
      <w:r w:rsidRPr="00A66213">
        <w:rPr>
          <w:rFonts w:ascii="Trebuchet MS" w:hAnsi="Trebuchet MS" w:cstheme="minorHAnsi"/>
          <w:b/>
          <w:lang w:eastAsia="pl-PL"/>
        </w:rPr>
        <w:t xml:space="preserve"> </w:t>
      </w:r>
      <w:r w:rsidRPr="00A66213">
        <w:rPr>
          <w:rFonts w:ascii="Trebuchet MS" w:hAnsi="Trebuchet MS" w:cstheme="minorHAnsi"/>
          <w:lang w:eastAsia="pl-PL"/>
        </w:rPr>
        <w:t>łączna liczba punktów przyznanych badanej ofercie,</w:t>
      </w:r>
    </w:p>
    <w:p w14:paraId="3E45315F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  <w:b/>
          <w:lang w:eastAsia="pl-PL"/>
        </w:rPr>
        <w:t xml:space="preserve">C </w:t>
      </w:r>
      <w:r w:rsidRPr="00A66213">
        <w:rPr>
          <w:rFonts w:ascii="Trebuchet MS" w:hAnsi="Trebuchet MS" w:cstheme="minorHAnsi"/>
          <w:b/>
          <w:lang w:eastAsia="pl-PL"/>
        </w:rPr>
        <w:tab/>
      </w:r>
      <w:r w:rsidRPr="00A66213">
        <w:rPr>
          <w:rFonts w:ascii="Trebuchet MS" w:hAnsi="Trebuchet MS" w:cstheme="minorHAnsi"/>
          <w:bCs/>
          <w:lang w:eastAsia="pl-PL"/>
        </w:rPr>
        <w:t>–</w:t>
      </w:r>
      <w:r w:rsidRPr="00A66213">
        <w:rPr>
          <w:rFonts w:ascii="Trebuchet MS" w:hAnsi="Trebuchet MS" w:cstheme="minorHAnsi"/>
          <w:b/>
          <w:lang w:eastAsia="pl-PL"/>
        </w:rPr>
        <w:t xml:space="preserve"> </w:t>
      </w:r>
      <w:r w:rsidRPr="00A66213">
        <w:rPr>
          <w:rFonts w:ascii="Trebuchet MS" w:hAnsi="Trebuchet MS" w:cstheme="minorHAnsi"/>
          <w:lang w:eastAsia="pl-PL"/>
        </w:rPr>
        <w:t>liczba punktów przyznanych badanej ofercie w kryterium „Cena”</w:t>
      </w:r>
    </w:p>
    <w:p w14:paraId="7F83D436" w14:textId="37632496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lang w:eastAsia="pl-PL"/>
        </w:rPr>
      </w:pPr>
      <w:r w:rsidRPr="00A66213">
        <w:rPr>
          <w:rFonts w:ascii="Trebuchet MS" w:hAnsi="Trebuchet MS" w:cstheme="minorHAnsi"/>
          <w:b/>
          <w:bCs/>
          <w:lang w:eastAsia="pl-PL"/>
        </w:rPr>
        <w:t xml:space="preserve">G </w:t>
      </w:r>
      <w:r w:rsidRPr="00A66213">
        <w:rPr>
          <w:rFonts w:ascii="Trebuchet MS" w:hAnsi="Trebuchet MS" w:cstheme="minorHAnsi"/>
          <w:lang w:eastAsia="pl-PL"/>
        </w:rPr>
        <w:tab/>
        <w:t xml:space="preserve">– liczba punktów przyznanych badanej ofercie w kryterium </w:t>
      </w:r>
      <w:r w:rsidRPr="00A66213">
        <w:rPr>
          <w:rFonts w:ascii="Trebuchet MS" w:hAnsi="Trebuchet MS" w:cstheme="minorHAnsi"/>
          <w:lang w:eastAsia="pl-PL"/>
        </w:rPr>
        <w:br/>
      </w:r>
      <w:r w:rsidRPr="00A66213">
        <w:rPr>
          <w:rFonts w:ascii="Trebuchet MS" w:hAnsi="Trebuchet MS" w:cstheme="minorHAnsi"/>
          <w:lang w:eastAsia="pl-PL"/>
        </w:rPr>
        <w:tab/>
        <w:t>„Długość okresu gwarancji</w:t>
      </w:r>
      <w:r w:rsidR="00E0189A">
        <w:rPr>
          <w:rFonts w:ascii="Trebuchet MS" w:hAnsi="Trebuchet MS" w:cstheme="minorHAnsi"/>
          <w:lang w:eastAsia="pl-PL"/>
        </w:rPr>
        <w:t xml:space="preserve"> i rękojmi</w:t>
      </w:r>
      <w:r w:rsidRPr="00A66213">
        <w:rPr>
          <w:rFonts w:ascii="Trebuchet MS" w:hAnsi="Trebuchet MS" w:cstheme="minorHAnsi"/>
          <w:lang w:eastAsia="pl-PL"/>
        </w:rPr>
        <w:t>”</w:t>
      </w:r>
    </w:p>
    <w:p w14:paraId="7F711F7D" w14:textId="77777777" w:rsidR="002F4BEE" w:rsidRPr="00A66213" w:rsidRDefault="002F4BEE" w:rsidP="00A66213">
      <w:pPr>
        <w:spacing w:before="0" w:after="0" w:line="23" w:lineRule="atLeast"/>
        <w:contextualSpacing/>
        <w:rPr>
          <w:rFonts w:ascii="Trebuchet MS" w:hAnsi="Trebuchet MS" w:cstheme="minorHAnsi"/>
          <w:b/>
          <w:bCs/>
          <w:i/>
          <w:iCs/>
          <w:u w:val="single"/>
        </w:rPr>
      </w:pPr>
    </w:p>
    <w:p w14:paraId="0E3ED4AC" w14:textId="0FC35C50" w:rsidR="004D6829" w:rsidRPr="00A66213" w:rsidRDefault="004D6829" w:rsidP="00A66213">
      <w:pPr>
        <w:widowControl w:val="0"/>
        <w:tabs>
          <w:tab w:val="left" w:pos="447"/>
        </w:tabs>
        <w:autoSpaceDE w:val="0"/>
        <w:autoSpaceDN w:val="0"/>
        <w:spacing w:before="0" w:after="0" w:line="23" w:lineRule="atLeast"/>
        <w:contextualSpacing/>
        <w:rPr>
          <w:rFonts w:ascii="Trebuchet MS" w:hAnsi="Trebuchet MS" w:cstheme="minorHAnsi"/>
        </w:rPr>
      </w:pPr>
      <w:r w:rsidRPr="00A66213">
        <w:rPr>
          <w:rFonts w:ascii="Trebuchet MS" w:hAnsi="Trebuchet MS" w:cstheme="minorHAnsi"/>
        </w:rPr>
        <w:t>Stosowane kryteria oceny ofert: Kryterium ceny oraz kryteria długość gwarancji</w:t>
      </w:r>
      <w:r w:rsidR="00E0189A">
        <w:rPr>
          <w:rFonts w:ascii="Trebuchet MS" w:hAnsi="Trebuchet MS" w:cstheme="minorHAnsi"/>
        </w:rPr>
        <w:t xml:space="preserve"> </w:t>
      </w:r>
      <w:r w:rsidR="00E0189A" w:rsidRPr="00E0189A">
        <w:rPr>
          <w:rFonts w:ascii="Trebuchet MS" w:hAnsi="Trebuchet MS" w:cstheme="minorHAnsi"/>
        </w:rPr>
        <w:t>i rękojmi</w:t>
      </w:r>
      <w:r w:rsidRPr="00A66213">
        <w:rPr>
          <w:rFonts w:ascii="Trebuchet MS" w:hAnsi="Trebuchet MS" w:cstheme="minorHAnsi"/>
        </w:rPr>
        <w:t xml:space="preserve">. </w:t>
      </w:r>
    </w:p>
    <w:p w14:paraId="1B7180CF" w14:textId="77777777" w:rsidR="004D6829" w:rsidRPr="00A66213" w:rsidRDefault="004D6829" w:rsidP="00A66213">
      <w:pPr>
        <w:widowControl w:val="0"/>
        <w:tabs>
          <w:tab w:val="left" w:pos="447"/>
        </w:tabs>
        <w:autoSpaceDE w:val="0"/>
        <w:autoSpaceDN w:val="0"/>
        <w:spacing w:before="0" w:after="0" w:line="23" w:lineRule="atLeast"/>
        <w:contextualSpacing/>
        <w:rPr>
          <w:rFonts w:ascii="Trebuchet MS" w:hAnsi="Trebuchet MS" w:cstheme="minorHAnsi"/>
          <w:color w:val="FF0000"/>
        </w:rPr>
      </w:pPr>
      <w:r w:rsidRPr="00A66213">
        <w:rPr>
          <w:rFonts w:ascii="Trebuchet MS" w:hAnsi="Trebuchet MS" w:cstheme="minorHAnsi"/>
        </w:rPr>
        <w:t xml:space="preserve">W powyższych kryteriach oferta Wykonawcy może łącznie uzyskać </w:t>
      </w:r>
      <w:r w:rsidRPr="00A66213">
        <w:rPr>
          <w:rFonts w:ascii="Trebuchet MS" w:hAnsi="Trebuchet MS" w:cstheme="minorHAnsi"/>
          <w:color w:val="212121"/>
        </w:rPr>
        <w:t>maksymalnie 100 pkt.</w:t>
      </w:r>
    </w:p>
    <w:sectPr w:rsidR="004D6829" w:rsidRPr="00A66213" w:rsidSect="00766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707" w:bottom="993" w:left="709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1D21" w14:textId="77777777" w:rsidR="00D04285" w:rsidRDefault="00D04285">
      <w:r>
        <w:separator/>
      </w:r>
    </w:p>
  </w:endnote>
  <w:endnote w:type="continuationSeparator" w:id="0">
    <w:p w14:paraId="4672CE12" w14:textId="77777777" w:rsidR="00D04285" w:rsidRDefault="00D0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187289084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16A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41840691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1339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7C01A" w14:textId="77777777" w:rsidR="00D04285" w:rsidRDefault="00D04285">
      <w:r>
        <w:separator/>
      </w:r>
    </w:p>
  </w:footnote>
  <w:footnote w:type="continuationSeparator" w:id="0">
    <w:p w14:paraId="098B65A8" w14:textId="77777777" w:rsidR="00D04285" w:rsidRDefault="00D0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13951649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3A0C"/>
    <w:multiLevelType w:val="hybridMultilevel"/>
    <w:tmpl w:val="16B2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066"/>
    <w:multiLevelType w:val="hybridMultilevel"/>
    <w:tmpl w:val="9C4CA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B3A1F"/>
    <w:multiLevelType w:val="hybridMultilevel"/>
    <w:tmpl w:val="FDE0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404A"/>
    <w:multiLevelType w:val="hybridMultilevel"/>
    <w:tmpl w:val="3FC6D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922A6"/>
    <w:multiLevelType w:val="hybridMultilevel"/>
    <w:tmpl w:val="C6EA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719E"/>
    <w:multiLevelType w:val="hybridMultilevel"/>
    <w:tmpl w:val="6304247E"/>
    <w:lvl w:ilvl="0" w:tplc="62E6911E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3F7"/>
    <w:multiLevelType w:val="hybridMultilevel"/>
    <w:tmpl w:val="AFBA03E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5318D6"/>
    <w:multiLevelType w:val="hybridMultilevel"/>
    <w:tmpl w:val="B632436C"/>
    <w:lvl w:ilvl="0" w:tplc="FFFFFFFF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FFFFFFFF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42E0"/>
    <w:multiLevelType w:val="hybridMultilevel"/>
    <w:tmpl w:val="2F8EA9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E41EC"/>
    <w:multiLevelType w:val="hybridMultilevel"/>
    <w:tmpl w:val="B632436C"/>
    <w:lvl w:ilvl="0" w:tplc="8B223F8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9E19E4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E1FE5F66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C9A8BB9E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1A4C4626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9174AB24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EEDAC4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54745F9C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6994B3D2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2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16712"/>
    <w:multiLevelType w:val="hybridMultilevel"/>
    <w:tmpl w:val="2F8E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91D5C"/>
    <w:multiLevelType w:val="hybridMultilevel"/>
    <w:tmpl w:val="FD428CA8"/>
    <w:lvl w:ilvl="0" w:tplc="04150017">
      <w:start w:val="1"/>
      <w:numFmt w:val="lowerLetter"/>
      <w:lvlText w:val="%1)"/>
      <w:lvlJc w:val="left"/>
      <w:pPr>
        <w:ind w:left="446" w:hanging="219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FFFFFFFF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2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6"/>
  </w:num>
  <w:num w:numId="4" w16cid:durableId="907615826">
    <w:abstractNumId w:val="13"/>
  </w:num>
  <w:num w:numId="5" w16cid:durableId="397635744">
    <w:abstractNumId w:val="26"/>
  </w:num>
  <w:num w:numId="6" w16cid:durableId="1648318210">
    <w:abstractNumId w:val="24"/>
  </w:num>
  <w:num w:numId="7" w16cid:durableId="331833269">
    <w:abstractNumId w:val="25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22"/>
  </w:num>
  <w:num w:numId="11" w16cid:durableId="7873616">
    <w:abstractNumId w:val="15"/>
  </w:num>
  <w:num w:numId="12" w16cid:durableId="1726102718">
    <w:abstractNumId w:val="28"/>
  </w:num>
  <w:num w:numId="13" w16cid:durableId="333580693">
    <w:abstractNumId w:val="20"/>
  </w:num>
  <w:num w:numId="14" w16cid:durableId="1335911795">
    <w:abstractNumId w:val="14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8"/>
  </w:num>
  <w:num w:numId="18" w16cid:durableId="1628968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19624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3968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3808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6118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5989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78979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2661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7027116">
    <w:abstractNumId w:val="21"/>
  </w:num>
  <w:num w:numId="27" w16cid:durableId="1281187239">
    <w:abstractNumId w:val="23"/>
  </w:num>
  <w:num w:numId="28" w16cid:durableId="987396728">
    <w:abstractNumId w:val="19"/>
  </w:num>
  <w:num w:numId="29" w16cid:durableId="214316058">
    <w:abstractNumId w:val="17"/>
  </w:num>
  <w:num w:numId="30" w16cid:durableId="98380918">
    <w:abstractNumId w:val="0"/>
  </w:num>
  <w:num w:numId="31" w16cid:durableId="205458418">
    <w:abstractNumId w:val="27"/>
  </w:num>
  <w:num w:numId="32" w16cid:durableId="492840635">
    <w:abstractNumId w:val="11"/>
  </w:num>
  <w:num w:numId="33" w16cid:durableId="2122870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3139"/>
    <w:rsid w:val="0004603C"/>
    <w:rsid w:val="00065C40"/>
    <w:rsid w:val="00094EF6"/>
    <w:rsid w:val="000E1C8D"/>
    <w:rsid w:val="000E21EF"/>
    <w:rsid w:val="0010162A"/>
    <w:rsid w:val="001561C5"/>
    <w:rsid w:val="001862A2"/>
    <w:rsid w:val="001B0D63"/>
    <w:rsid w:val="00214307"/>
    <w:rsid w:val="002571F6"/>
    <w:rsid w:val="002B08FC"/>
    <w:rsid w:val="002D66BB"/>
    <w:rsid w:val="002E39C6"/>
    <w:rsid w:val="002E6BDD"/>
    <w:rsid w:val="002F4BEE"/>
    <w:rsid w:val="002F66E8"/>
    <w:rsid w:val="00310274"/>
    <w:rsid w:val="003134FE"/>
    <w:rsid w:val="00362C27"/>
    <w:rsid w:val="00366A26"/>
    <w:rsid w:val="003802A1"/>
    <w:rsid w:val="003816DA"/>
    <w:rsid w:val="00385FFB"/>
    <w:rsid w:val="0039393E"/>
    <w:rsid w:val="003D7DDE"/>
    <w:rsid w:val="00412555"/>
    <w:rsid w:val="00482EA3"/>
    <w:rsid w:val="004844AD"/>
    <w:rsid w:val="004A1F1B"/>
    <w:rsid w:val="004A7211"/>
    <w:rsid w:val="004B57F2"/>
    <w:rsid w:val="004D6829"/>
    <w:rsid w:val="004E62F6"/>
    <w:rsid w:val="005067E5"/>
    <w:rsid w:val="005115C2"/>
    <w:rsid w:val="00570488"/>
    <w:rsid w:val="00580A30"/>
    <w:rsid w:val="00590C58"/>
    <w:rsid w:val="005A056A"/>
    <w:rsid w:val="005A716A"/>
    <w:rsid w:val="005B7917"/>
    <w:rsid w:val="005C640E"/>
    <w:rsid w:val="005E22E2"/>
    <w:rsid w:val="0062145A"/>
    <w:rsid w:val="00645F3B"/>
    <w:rsid w:val="006760F1"/>
    <w:rsid w:val="006B61DE"/>
    <w:rsid w:val="006D19B4"/>
    <w:rsid w:val="006E040C"/>
    <w:rsid w:val="007021C9"/>
    <w:rsid w:val="007077F2"/>
    <w:rsid w:val="00723486"/>
    <w:rsid w:val="00726035"/>
    <w:rsid w:val="00735813"/>
    <w:rsid w:val="00745B15"/>
    <w:rsid w:val="00760990"/>
    <w:rsid w:val="00761B48"/>
    <w:rsid w:val="0076623A"/>
    <w:rsid w:val="00780D75"/>
    <w:rsid w:val="007956B3"/>
    <w:rsid w:val="0081195B"/>
    <w:rsid w:val="00863D3F"/>
    <w:rsid w:val="0088784C"/>
    <w:rsid w:val="008C4DE6"/>
    <w:rsid w:val="008F23A8"/>
    <w:rsid w:val="00936228"/>
    <w:rsid w:val="00945B85"/>
    <w:rsid w:val="009657A8"/>
    <w:rsid w:val="0096722A"/>
    <w:rsid w:val="0099189B"/>
    <w:rsid w:val="009A5797"/>
    <w:rsid w:val="009B4594"/>
    <w:rsid w:val="009B7B29"/>
    <w:rsid w:val="009F1BAD"/>
    <w:rsid w:val="009F3721"/>
    <w:rsid w:val="00A03F9A"/>
    <w:rsid w:val="00A17D15"/>
    <w:rsid w:val="00A25198"/>
    <w:rsid w:val="00A34049"/>
    <w:rsid w:val="00A42564"/>
    <w:rsid w:val="00A66213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E0D8D"/>
    <w:rsid w:val="00BE519B"/>
    <w:rsid w:val="00C06AC7"/>
    <w:rsid w:val="00C0733F"/>
    <w:rsid w:val="00C14A13"/>
    <w:rsid w:val="00C16F95"/>
    <w:rsid w:val="00C24F21"/>
    <w:rsid w:val="00C3461A"/>
    <w:rsid w:val="00C43379"/>
    <w:rsid w:val="00C44D8B"/>
    <w:rsid w:val="00C965EE"/>
    <w:rsid w:val="00CA4211"/>
    <w:rsid w:val="00CB53C1"/>
    <w:rsid w:val="00CC431D"/>
    <w:rsid w:val="00CD4D61"/>
    <w:rsid w:val="00CE126B"/>
    <w:rsid w:val="00CF1AB9"/>
    <w:rsid w:val="00D04285"/>
    <w:rsid w:val="00D653CC"/>
    <w:rsid w:val="00D86727"/>
    <w:rsid w:val="00DC0C56"/>
    <w:rsid w:val="00E0189A"/>
    <w:rsid w:val="00E1663C"/>
    <w:rsid w:val="00E470F0"/>
    <w:rsid w:val="00E54ABB"/>
    <w:rsid w:val="00EA5546"/>
    <w:rsid w:val="00EB7791"/>
    <w:rsid w:val="00EE312E"/>
    <w:rsid w:val="00F56E89"/>
    <w:rsid w:val="00F603D4"/>
    <w:rsid w:val="00F6134F"/>
    <w:rsid w:val="00F753C2"/>
    <w:rsid w:val="00F8620F"/>
    <w:rsid w:val="00FC2686"/>
    <w:rsid w:val="00FD70F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,Akapit z listą BS,T_SZ_List Paragraph,normalny tekst,Preambuła,CW_Lista,Colorful List Accent 1,Akapit z listą4,Średnia siatka 1 — akcent 21"/>
    <w:basedOn w:val="Normalny"/>
    <w:link w:val="AkapitzlistZnak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T_SZ_List Paragraph Znak,normalny tekst Znak,Preambuła Znak"/>
    <w:link w:val="Akapitzlist"/>
    <w:qFormat/>
    <w:rsid w:val="009F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13</cp:revision>
  <cp:lastPrinted>2018-03-26T09:55:00Z</cp:lastPrinted>
  <dcterms:created xsi:type="dcterms:W3CDTF">2024-10-22T08:30:00Z</dcterms:created>
  <dcterms:modified xsi:type="dcterms:W3CDTF">2024-11-28T08:17:00Z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