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F" w:rsidRPr="003518BA" w:rsidRDefault="00726C4F" w:rsidP="00726C4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Załącznik nr 1.</w:t>
      </w:r>
      <w:r>
        <w:rPr>
          <w:rFonts w:asciiTheme="minorHAnsi" w:hAnsiTheme="minorHAnsi" w:cstheme="minorHAnsi"/>
          <w:b/>
        </w:rPr>
        <w:t>1</w:t>
      </w:r>
      <w:r w:rsidRPr="003518BA">
        <w:rPr>
          <w:rFonts w:asciiTheme="minorHAnsi" w:hAnsiTheme="minorHAnsi" w:cstheme="minorHAnsi"/>
          <w:b/>
        </w:rPr>
        <w:t xml:space="preserve"> do SWZ</w:t>
      </w:r>
    </w:p>
    <w:p w:rsidR="00726C4F" w:rsidRPr="003518BA" w:rsidRDefault="00726C4F" w:rsidP="00726C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Opis przedmiotu zamówienia - specyfikacja techniczna oferowanego sprzętu</w:t>
      </w:r>
    </w:p>
    <w:p w:rsidR="00726C4F" w:rsidRDefault="00726C4F" w:rsidP="00726C4F">
      <w:pPr>
        <w:spacing w:line="276" w:lineRule="auto"/>
        <w:rPr>
          <w:rFonts w:ascii="Georgia" w:hAnsi="Georgia"/>
          <w:kern w:val="0"/>
        </w:rPr>
      </w:pPr>
      <w:r w:rsidRPr="00B058C5">
        <w:rPr>
          <w:rFonts w:ascii="Calibri" w:hAnsi="Calibri" w:cs="Calibri"/>
        </w:rPr>
        <w:t xml:space="preserve">Dostawa </w:t>
      </w:r>
      <w:r w:rsidR="00682F3A">
        <w:rPr>
          <w:rFonts w:ascii="Calibri" w:hAnsi="Calibri" w:cs="Calibri"/>
        </w:rPr>
        <w:t>procesora tkankowego typu karuzelowego</w:t>
      </w:r>
      <w:r w:rsidRPr="00B058C5">
        <w:rPr>
          <w:rFonts w:ascii="Calibri" w:hAnsi="Calibri" w:cs="Calibri"/>
        </w:rPr>
        <w:t xml:space="preserve"> na potrzeby Wydziału Medycznego KUL</w:t>
      </w:r>
    </w:p>
    <w:p w:rsidR="00726C4F" w:rsidRDefault="00726C4F" w:rsidP="00726C4F">
      <w:pPr>
        <w:rPr>
          <w:rFonts w:ascii="Calibri" w:hAnsi="Calibri" w:cs="Calibri"/>
        </w:rPr>
      </w:pPr>
    </w:p>
    <w:tbl>
      <w:tblPr>
        <w:tblW w:w="913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82"/>
        <w:gridCol w:w="3075"/>
      </w:tblGrid>
      <w:tr w:rsidR="009E6A12" w:rsidRPr="006D31D1" w:rsidTr="00A559EF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9E6A12" w:rsidRPr="006D31D1" w:rsidRDefault="009E6A12" w:rsidP="00A559E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31D1">
              <w:rPr>
                <w:rFonts w:asciiTheme="minorHAnsi" w:hAnsiTheme="minorHAnsi" w:cstheme="minorHAnsi"/>
                <w:b/>
                <w:bCs/>
              </w:rPr>
              <w:t>Procesor tkankowy typu karuzelowego – 1 sztuka</w:t>
            </w:r>
          </w:p>
          <w:p w:rsidR="009E6A12" w:rsidRPr="006D31D1" w:rsidRDefault="009E6A12" w:rsidP="00A559E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6A12" w:rsidRPr="006D31D1" w:rsidTr="009E6A12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:rsidR="009E6A12" w:rsidRPr="006D31D1" w:rsidRDefault="009E6A12" w:rsidP="00A559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9E6A12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:rsidR="009E6A12" w:rsidRPr="006D31D1" w:rsidRDefault="009E6A12" w:rsidP="00A559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9E6A12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:rsidR="009E6A12" w:rsidRPr="006D31D1" w:rsidRDefault="009E6A12" w:rsidP="00A559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9E6A12" w:rsidRPr="006D31D1" w:rsidTr="00A559EF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Pojemność procesora – minimum 120 kasetek w koszyku transportowym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3"/>
              <w:widowControl w:val="0"/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Materiał wykonania koszyka transportowego – stal nierdzewna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Całkowita liczba stacji – minimum - 12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Liczba stacji parafinowych – nie mniej niż - 2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 xml:space="preserve">Materiał wykonania stacji parafinowych – aluminium z podwójną ścianką (termoizolacja)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Regulacja temperatury stacji parafinowych w zakresie 40</w:t>
            </w:r>
            <w:r w:rsidRPr="006D31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C – 80</w:t>
            </w:r>
            <w:r w:rsidRPr="006D31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Możliwość pełnego wyjęcia podgrzewanych pojemników na parafinę z urządzenia bez użycia jakichkolwiek narzędzi – brak stałego połączenia pomiędzy pojemnikiem, a procesorem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Liczba stacji odczynnikowych – minimum - 9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Objętość każdej stacji – minimum 1,5 litra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Ruchomy stolik  z możliwością automatycznego przesuwu o pojedynczą stację lub do konkretnej pozycji określonej przez użytkownika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Łatwy system wymiany odczynników w stacjach od frontowej części urządzenia w przypadku instalacji urządzenia blisko ściany realizowany poprzez automatyczny obrót stolika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System zapobiegający mieszaniu się odczynników realizowany poprzez pozostawienie koszyka transportowego nad stacją odczynnikową („ociekanie”)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 xml:space="preserve">Zakres regulacji „ociekania” od 30 sekund do 60 minut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Zabezpieczenie przed włożeniem koszyka z preparatami do stacji parafinowej z zastygniętą parafiną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  <w:lang w:val="en-US"/>
              </w:rPr>
            </w:pPr>
            <w:r w:rsidRPr="006D31D1">
              <w:rPr>
                <w:rFonts w:asciiTheme="minorHAnsi" w:hAnsiTheme="minorHAnsi" w:cstheme="minorHAnsi"/>
              </w:rPr>
              <w:t>Zakres czasu inkubacji koszyka transportowego z preparatami w stacjach – od 1 sekundy do 100 godzin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 xml:space="preserve">Trzy tryby uruchamiania procesu – natychmiastowy, programowany początek procesu, programowany </w:t>
            </w:r>
            <w:r w:rsidRPr="006D31D1">
              <w:rPr>
                <w:rFonts w:asciiTheme="minorHAnsi" w:hAnsiTheme="minorHAnsi" w:cstheme="minorHAnsi"/>
              </w:rPr>
              <w:lastRenderedPageBreak/>
              <w:t xml:space="preserve">koniec procesu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 xml:space="preserve">Ustawienia opóźnienia startu w przypadku programowanego początku procesu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 xml:space="preserve">Ustawienia programowanego końca procesu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Możliwość przerwania procesu w dowolnym momencie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Możliwość zapamiętania minimum 9 kompletnych, niezależnych od siebie programów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Możliwość zabezpieczania dostępu hasłem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Sygnalizacja wizualna końca programu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Wyświetlacz LCD wskazujący aktualne parametry pracy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Wbudowany zegar czasu rzeczywistego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Wbudowany system zasilania awaryjnego (UPS)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System pozwalający na przeprowadzenia kosz</w:t>
            </w:r>
            <w:bookmarkStart w:id="0" w:name="_GoBack"/>
            <w:bookmarkEnd w:id="0"/>
            <w:r w:rsidRPr="006D31D1">
              <w:rPr>
                <w:rFonts w:asciiTheme="minorHAnsi" w:hAnsiTheme="minorHAnsi" w:cstheme="minorHAnsi"/>
              </w:rPr>
              <w:t>yka z preparatami do zdefiniowanej przez użytkownika stacji w przypadku rozładowania się systemu zasilania awaryjnego UPS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Wbudowany system odprowadzania oparów odczynnikowych wraz z filtrem z węgla aktywnego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Urządzenie wyposażone w osłonę ze szkła akrylowego z rozsuwanymi drzwiami ograniczające wydobywanie się szkodliwych oparów na zewnątrz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rPr>
                <w:rFonts w:asciiTheme="minorHAnsi" w:hAnsiTheme="minorHAnsi" w:cstheme="minorHAnsi"/>
              </w:rPr>
            </w:pPr>
            <w:r w:rsidRPr="006D31D1">
              <w:rPr>
                <w:rFonts w:asciiTheme="minorHAnsi" w:hAnsiTheme="minorHAnsi" w:cstheme="minorHAnsi"/>
              </w:rPr>
              <w:t>Na wyposażeniu urządzenia dociskacz do koszyka transportowego w przypadku pracy z niepełnym załadunkiem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B01AA0" w:rsidRDefault="009E6A12" w:rsidP="00A559EF">
            <w:pPr>
              <w:rPr>
                <w:rFonts w:asciiTheme="minorHAnsi" w:hAnsiTheme="minorHAnsi" w:cstheme="minorHAnsi"/>
              </w:rPr>
            </w:pPr>
            <w:r w:rsidRPr="00B01AA0">
              <w:rPr>
                <w:rFonts w:asciiTheme="minorHAnsi" w:hAnsiTheme="minorHAnsi" w:cstheme="minorHAnsi"/>
              </w:rPr>
              <w:t>Zasilanie 100-230V, 50/60Hz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B01AA0" w:rsidRDefault="009E6A12" w:rsidP="00A559EF">
            <w:pPr>
              <w:rPr>
                <w:rFonts w:asciiTheme="minorHAnsi" w:hAnsiTheme="minorHAnsi" w:cstheme="minorHAnsi"/>
              </w:rPr>
            </w:pPr>
            <w:r w:rsidRPr="00B01AA0">
              <w:rPr>
                <w:rFonts w:asciiTheme="minorHAnsi" w:hAnsiTheme="minorHAnsi" w:cstheme="minorHAnsi"/>
              </w:rPr>
              <w:t>Deklaracja zgodności CE/IVD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965" w:rsidRPr="006D31D1" w:rsidTr="00A559E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44965" w:rsidRPr="006D31D1" w:rsidRDefault="00244965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44965" w:rsidRPr="00B01AA0" w:rsidRDefault="00244965" w:rsidP="00A559EF">
            <w:pPr>
              <w:rPr>
                <w:rFonts w:asciiTheme="minorHAnsi" w:hAnsiTheme="minorHAnsi" w:cstheme="minorHAnsi"/>
              </w:rPr>
            </w:pPr>
            <w:r w:rsidRPr="00B01AA0">
              <w:rPr>
                <w:rFonts w:asciiTheme="minorHAnsi" w:hAnsiTheme="minorHAnsi" w:cstheme="minorHAnsi"/>
              </w:rPr>
              <w:t>Instrukcja obsługi w języku polskim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44965" w:rsidRPr="006D31D1" w:rsidRDefault="00244965" w:rsidP="00A559E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A12" w:rsidRPr="006D31D1" w:rsidTr="00396E64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9E6A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E6A12" w:rsidRPr="006D31D1" w:rsidRDefault="009E6A12" w:rsidP="00A559EF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1D1">
              <w:rPr>
                <w:rFonts w:asciiTheme="minorHAnsi" w:hAnsiTheme="minorHAnsi" w:cstheme="minorHAnsi"/>
                <w:sz w:val="22"/>
                <w:szCs w:val="22"/>
              </w:rPr>
              <w:t>Gwarancja min. 24 miesiące dla urządzenia</w:t>
            </w:r>
          </w:p>
        </w:tc>
      </w:tr>
    </w:tbl>
    <w:p w:rsidR="00726C4F" w:rsidRDefault="00726C4F" w:rsidP="00726C4F">
      <w:pPr>
        <w:rPr>
          <w:rFonts w:ascii="Calibri" w:hAnsi="Calibri" w:cs="Calibri"/>
        </w:rPr>
      </w:pPr>
    </w:p>
    <w:p w:rsidR="00726C4F" w:rsidRDefault="00726C4F" w:rsidP="00726C4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pn: Parametry oferowane muszą pozwolić Zamawiającemu na jednoznaczną identyfikację oferowanego produktu. </w:t>
      </w:r>
    </w:p>
    <w:p w:rsidR="00726C4F" w:rsidRDefault="00726C4F" w:rsidP="00726C4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:rsidR="00726C4F" w:rsidRPr="00F230CD" w:rsidRDefault="00726C4F" w:rsidP="00726C4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:rsidR="00726C4F" w:rsidRDefault="00726C4F" w:rsidP="00726C4F">
      <w:pPr>
        <w:rPr>
          <w:rFonts w:cs="Times New Roman"/>
        </w:rPr>
      </w:pPr>
    </w:p>
    <w:p w:rsidR="00310108" w:rsidRDefault="00310108"/>
    <w:sectPr w:rsidR="00310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ED" w:rsidRDefault="00F952ED" w:rsidP="00F952ED">
      <w:r>
        <w:separator/>
      </w:r>
    </w:p>
  </w:endnote>
  <w:endnote w:type="continuationSeparator" w:id="0">
    <w:p w:rsidR="00F952ED" w:rsidRDefault="00F952ED" w:rsidP="00F9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19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F952ED" w:rsidRPr="00F952ED" w:rsidRDefault="00F952ED">
        <w:pPr>
          <w:pStyle w:val="Stopka"/>
          <w:jc w:val="right"/>
          <w:rPr>
            <w:rFonts w:asciiTheme="minorHAnsi" w:hAnsiTheme="minorHAnsi" w:cstheme="minorHAnsi"/>
          </w:rPr>
        </w:pPr>
        <w:r w:rsidRPr="00F952ED">
          <w:rPr>
            <w:rFonts w:asciiTheme="minorHAnsi" w:hAnsiTheme="minorHAnsi" w:cstheme="minorHAnsi"/>
          </w:rPr>
          <w:fldChar w:fldCharType="begin"/>
        </w:r>
        <w:r w:rsidRPr="00F952ED">
          <w:rPr>
            <w:rFonts w:asciiTheme="minorHAnsi" w:hAnsiTheme="minorHAnsi" w:cstheme="minorHAnsi"/>
          </w:rPr>
          <w:instrText>PAGE   \* MERGEFORMAT</w:instrText>
        </w:r>
        <w:r w:rsidRPr="00F952ED">
          <w:rPr>
            <w:rFonts w:asciiTheme="minorHAnsi" w:hAnsiTheme="minorHAnsi" w:cstheme="minorHAnsi"/>
          </w:rPr>
          <w:fldChar w:fldCharType="separate"/>
        </w:r>
        <w:r w:rsidR="00B01AA0">
          <w:rPr>
            <w:rFonts w:asciiTheme="minorHAnsi" w:hAnsiTheme="minorHAnsi" w:cstheme="minorHAnsi"/>
            <w:noProof/>
          </w:rPr>
          <w:t>2</w:t>
        </w:r>
        <w:r w:rsidRPr="00F952ED">
          <w:rPr>
            <w:rFonts w:asciiTheme="minorHAnsi" w:hAnsiTheme="minorHAnsi" w:cstheme="minorHAnsi"/>
          </w:rPr>
          <w:fldChar w:fldCharType="end"/>
        </w:r>
      </w:p>
    </w:sdtContent>
  </w:sdt>
  <w:p w:rsidR="00F952ED" w:rsidRDefault="00F95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ED" w:rsidRDefault="00F952ED" w:rsidP="00F952ED">
      <w:r>
        <w:separator/>
      </w:r>
    </w:p>
  </w:footnote>
  <w:footnote w:type="continuationSeparator" w:id="0">
    <w:p w:rsidR="00F952ED" w:rsidRDefault="00F952ED" w:rsidP="00F9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026"/>
    <w:multiLevelType w:val="hybridMultilevel"/>
    <w:tmpl w:val="B8A4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0B0"/>
    <w:multiLevelType w:val="multilevel"/>
    <w:tmpl w:val="C1544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4F"/>
    <w:rsid w:val="00226F23"/>
    <w:rsid w:val="00244965"/>
    <w:rsid w:val="00310108"/>
    <w:rsid w:val="004674B0"/>
    <w:rsid w:val="0054444D"/>
    <w:rsid w:val="00682F3A"/>
    <w:rsid w:val="00684CDD"/>
    <w:rsid w:val="006D31D1"/>
    <w:rsid w:val="00704F36"/>
    <w:rsid w:val="00726C4F"/>
    <w:rsid w:val="009E6A12"/>
    <w:rsid w:val="00B01AA0"/>
    <w:rsid w:val="00B071B5"/>
    <w:rsid w:val="00C35E11"/>
    <w:rsid w:val="00D46131"/>
    <w:rsid w:val="00EB52F7"/>
    <w:rsid w:val="00F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4F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6A12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6A12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26C4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726C4F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72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4F"/>
    <w:rPr>
      <w:rFonts w:ascii="Times New Roman" w:eastAsiaTheme="minorEastAsia" w:hAnsi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eastAsiaTheme="minorEastAsia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CDD"/>
    <w:rPr>
      <w:rFonts w:ascii="Times New Roman" w:eastAsiaTheme="minorEastAsia" w:hAnsi="Times New Roman"/>
      <w:b/>
      <w:bCs/>
      <w:kern w:val="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9E6A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9E6A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9E6A12"/>
  </w:style>
  <w:style w:type="character" w:customStyle="1" w:styleId="NagwekZnak">
    <w:name w:val="Nagłówek Znak"/>
    <w:basedOn w:val="Domylnaczcionkaakapitu"/>
    <w:link w:val="Nagwek"/>
    <w:rsid w:val="009E6A12"/>
    <w:rPr>
      <w:rFonts w:ascii="Times New Roman" w:eastAsiaTheme="minorEastAsia" w:hAnsi="Times New Roman"/>
      <w:kern w:val="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A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A12"/>
    <w:rPr>
      <w:rFonts w:ascii="Times New Roman" w:eastAsiaTheme="minorEastAsia" w:hAnsi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2ED"/>
    <w:rPr>
      <w:rFonts w:ascii="Times New Roman" w:eastAsiaTheme="minorEastAsia" w:hAnsi="Times New Roman"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4F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6A12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6A12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26C4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726C4F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72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4F"/>
    <w:rPr>
      <w:rFonts w:ascii="Times New Roman" w:eastAsiaTheme="minorEastAsia" w:hAnsi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eastAsiaTheme="minorEastAsia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CDD"/>
    <w:rPr>
      <w:rFonts w:ascii="Times New Roman" w:eastAsiaTheme="minorEastAsia" w:hAnsi="Times New Roman"/>
      <w:b/>
      <w:bCs/>
      <w:kern w:val="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9E6A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9E6A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9E6A12"/>
  </w:style>
  <w:style w:type="character" w:customStyle="1" w:styleId="NagwekZnak">
    <w:name w:val="Nagłówek Znak"/>
    <w:basedOn w:val="Domylnaczcionkaakapitu"/>
    <w:link w:val="Nagwek"/>
    <w:rsid w:val="009E6A12"/>
    <w:rPr>
      <w:rFonts w:ascii="Times New Roman" w:eastAsiaTheme="minorEastAsia" w:hAnsi="Times New Roman"/>
      <w:kern w:val="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A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A12"/>
    <w:rPr>
      <w:rFonts w:ascii="Times New Roman" w:eastAsiaTheme="minorEastAsia" w:hAnsi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2ED"/>
    <w:rPr>
      <w:rFonts w:ascii="Times New Roman" w:eastAsiaTheme="minorEastAsia" w:hAnsi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10</cp:revision>
  <dcterms:created xsi:type="dcterms:W3CDTF">2023-07-10T08:59:00Z</dcterms:created>
  <dcterms:modified xsi:type="dcterms:W3CDTF">2023-07-12T08:18:00Z</dcterms:modified>
</cp:coreProperties>
</file>