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3CD1" w:rsidRPr="00CE72BA" w:rsidRDefault="00513CD1" w:rsidP="00513CD1">
      <w:pPr>
        <w:pStyle w:val="Nagwek31"/>
        <w:ind w:left="6372" w:right="98" w:firstLine="708"/>
        <w:jc w:val="both"/>
        <w:rPr>
          <w:rFonts w:eastAsia="Arial"/>
          <w:bCs w:val="0"/>
          <w:iCs w:val="0"/>
          <w:color w:val="000000" w:themeColor="text1"/>
          <w:lang w:eastAsia="pl-PL"/>
        </w:rPr>
      </w:pPr>
      <w:r w:rsidRPr="00CE72BA">
        <w:rPr>
          <w:rStyle w:val="Teksttreci"/>
          <w:bCs w:val="0"/>
          <w:iCs w:val="0"/>
          <w:color w:val="000000" w:themeColor="text1"/>
          <w:lang w:eastAsia="pl-PL"/>
        </w:rPr>
        <w:t xml:space="preserve">Załącznik nr 1 - </w:t>
      </w:r>
    </w:p>
    <w:p w:rsidR="00513CD1" w:rsidRPr="00CE72BA" w:rsidRDefault="00513CD1" w:rsidP="00513CD1">
      <w:pPr>
        <w:pStyle w:val="Nagwek31"/>
        <w:ind w:left="0" w:right="98"/>
        <w:rPr>
          <w:color w:val="000000" w:themeColor="text1"/>
        </w:rPr>
      </w:pPr>
      <w:r w:rsidRPr="00CE72BA">
        <w:rPr>
          <w:color w:val="000000" w:themeColor="text1"/>
        </w:rPr>
        <w:t>Opis przedmiotu</w:t>
      </w:r>
      <w:r w:rsidRPr="00CE72BA">
        <w:rPr>
          <w:color w:val="000000" w:themeColor="text1"/>
          <w:spacing w:val="-18"/>
        </w:rPr>
        <w:t xml:space="preserve"> </w:t>
      </w:r>
      <w:r w:rsidRPr="00CE72BA">
        <w:rPr>
          <w:color w:val="000000" w:themeColor="text1"/>
        </w:rPr>
        <w:t>zamówienia i Istotne postanowienia umowy w sprawie zamówienia</w:t>
      </w:r>
      <w:r w:rsidRPr="00CE72BA">
        <w:rPr>
          <w:color w:val="000000" w:themeColor="text1"/>
          <w:spacing w:val="-6"/>
        </w:rPr>
        <w:t xml:space="preserve"> </w:t>
      </w:r>
      <w:r w:rsidRPr="00CE72BA">
        <w:rPr>
          <w:color w:val="000000" w:themeColor="text1"/>
        </w:rPr>
        <w:t>publicznego</w:t>
      </w:r>
    </w:p>
    <w:p w:rsidR="00513CD1" w:rsidRPr="00CE72BA" w:rsidRDefault="00513CD1" w:rsidP="00513CD1">
      <w:pPr>
        <w:pStyle w:val="Tekstpodstawowy"/>
        <w:spacing w:before="11"/>
        <w:rPr>
          <w:b/>
          <w:i/>
          <w:color w:val="000000" w:themeColor="text1"/>
        </w:rPr>
      </w:pPr>
    </w:p>
    <w:p w:rsidR="00513CD1" w:rsidRPr="008D3B85" w:rsidRDefault="00513CD1" w:rsidP="00513CD1">
      <w:pPr>
        <w:pStyle w:val="Akapitzlist"/>
        <w:numPr>
          <w:ilvl w:val="0"/>
          <w:numId w:val="2"/>
        </w:numPr>
        <w:suppressAutoHyphens/>
        <w:spacing w:line="276" w:lineRule="auto"/>
        <w:rPr>
          <w:color w:val="000000" w:themeColor="text1"/>
          <w:sz w:val="24"/>
        </w:rPr>
      </w:pPr>
      <w:r w:rsidRPr="008D3B85">
        <w:rPr>
          <w:color w:val="000000" w:themeColor="text1"/>
          <w:sz w:val="24"/>
          <w:szCs w:val="24"/>
        </w:rPr>
        <w:t xml:space="preserve">Przedmiotem zamówienia jest udzielenie i obsługa kredytu długoterminowego do kwoty </w:t>
      </w:r>
      <w:r>
        <w:rPr>
          <w:rFonts w:eastAsiaTheme="minorEastAsia"/>
          <w:color w:val="000000" w:themeColor="text1"/>
          <w:sz w:val="24"/>
        </w:rPr>
        <w:t>875.799,24</w:t>
      </w:r>
      <w:r w:rsidRPr="008D3B85">
        <w:rPr>
          <w:rFonts w:eastAsiaTheme="minorEastAsia"/>
          <w:color w:val="000000" w:themeColor="text1"/>
          <w:sz w:val="24"/>
        </w:rPr>
        <w:t> </w:t>
      </w:r>
      <w:r w:rsidRPr="008D3B85">
        <w:rPr>
          <w:color w:val="000000" w:themeColor="text1"/>
          <w:sz w:val="24"/>
          <w:szCs w:val="24"/>
        </w:rPr>
        <w:t xml:space="preserve">zł na pokrycie deficytu budżetu Gminy oraz spłatę wcześniej zaciągniętych </w:t>
      </w:r>
      <w:r>
        <w:rPr>
          <w:color w:val="000000" w:themeColor="text1"/>
          <w:sz w:val="24"/>
          <w:szCs w:val="24"/>
        </w:rPr>
        <w:t>zobowiązań</w:t>
      </w:r>
      <w:r w:rsidRPr="008D3B85">
        <w:rPr>
          <w:color w:val="000000" w:themeColor="text1"/>
          <w:sz w:val="24"/>
          <w:szCs w:val="24"/>
        </w:rPr>
        <w:t>.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Wyżej wymieniona kwota kredytu lub transza kredytu zostanie postawiona przez Bank do dyspozycji Zamawiającego zgodnie ze złożoną deklaracją banku w formularzu ofertowym, jednak zastrzega się, że termin uruchomienia transz kredytu lub kredytu, nie może być dłuższy niż 3 dni robocze.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Uruchomienie kredytu nastąpi bez prowizji i opłat.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Wykonawca zobowiązany jest do postawienia środków finansowych do dyspozycji Zamawiającego poprzez przelanie ich na rachunek bankowy wskazany przez Gminę.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Bank stawia do dyspozycji Zamawiającego kredyt niezwłocznie po zawarciu umowy, jednak nie później niż do dnia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  <w:t>31</w:t>
      </w:r>
      <w:r w:rsidRPr="00394350"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  <w:t>.12.2024 r.</w:t>
      </w:r>
    </w:p>
    <w:p w:rsidR="00513CD1" w:rsidRPr="00DB562C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sz w:val="24"/>
          <w:szCs w:val="24"/>
          <w:lang w:eastAsia="en-US"/>
        </w:rPr>
      </w:pPr>
      <w:r w:rsidRPr="00DB562C">
        <w:rPr>
          <w:rFonts w:ascii="Times New Roman" w:hAnsi="Times New Roman"/>
          <w:sz w:val="24"/>
          <w:szCs w:val="24"/>
          <w:lang w:eastAsia="en-US"/>
        </w:rPr>
        <w:t>Uruchomienie kredytu nastąpi na podstawie prawidłowo wystawionej dyspozycji zamawiającego, która będzie złożona w banku do 5 dni roboczych przed planowaną datą wypłaty. Zamawiający zastrzega sobie prawo niewykorzystania kredytu w pełnej wysokości, o której mowa w ust. 1 lub odstąpienie całkowite od podjęcia kredytu- bez prowizji i opłat. W przypadku uruchomienia kredytu gwarantowana wysokość kredytu, która zostanie zaciągnięta przez Zamawiającego to kwota w wysokości minimum 300.000,00 zł.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W przypadku nie uruchomienia kredytu lub transzy kredytu w czasie określonym w ust. 2, Bank zapłaci odsetki za zwłokę w wysokości 0,1% wartości wynikającej z dyspozycji, za każdy dzień zwłoki. 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Łączna maksymalna wysokość kar umownych, których mogą dochodzić strony wynosi 10% wynagrodzenia brutto.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Za szkody poniesione w kwocie przewyższającej wartość kar umownych, Zamawiający zastrzega sobie prawo do odszkodowania na zasadach ogólnych do wysokości poniesionej szkody.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Kredyt może być uruchomiony przez Zamawiającego jednorazowo lub w dowolnych transzach do łącznej kwoty, o której mowa w ust. 1 bez prowizji i opłat.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Zamawiający nie przewiduje ponoszenia żadnych prowizji i opłat związanych z udzieleniem kredytu. Zastrzeżenie obejmuje również sytuację wcześniejszej spłaty kredytu lub niewykorzystania całości kredytu postawionego do dyspozycji Zamawiającego.</w:t>
      </w:r>
    </w:p>
    <w:p w:rsidR="00513CD1" w:rsidRPr="0085023A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85023A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Prawne zabezpieczenie spłaty kredytu stanowić będzie weksel własny in blanco z wystawienia Zamawiającego wraz z deklaracją wekslową z kontrasygnatą Skarbnika. 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Zamawiający zastrzega sobie możliwość wcześniejszej spłaty części lub całości kredytu, w tym spłaty jednorazowo rat kredytu przypadających do spłaty w danym roku kalendarzowym bez ponoszenia żadnych opłat i prowizji. Ewentualna spłata nastąpi dopiero po zawiadomieniu Wykonawcy o planowanej przedterminowej spłacie. Zawiadomienie wraz z uzasadnieniem przez Zamawiającego o zamiarze takiej spłaty, powinno zostać przesłane do Wykonawcy w terminie 15 dni roboczych, bez kosztów obciążających </w:t>
      </w: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lastRenderedPageBreak/>
        <w:t>Zamawiającego.</w:t>
      </w:r>
    </w:p>
    <w:p w:rsidR="00513CD1" w:rsidRPr="00340A1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 przypadku zmniejszenia ogólnej kwoty kredytu lub przedterminowej spłaty części kredytu Wykonawca dokona aktualizacji „Harmonogramu spłat rat kapitałowych kredytu” bez kosztów obciążających Zamawiającego. W przypadku spłaty jednorazowej rat kredytu przypadających do spłaty w danym roku kalendarzowym nie powodującej zmian harmonogramu spłat rat kapitałowych kredytu przypadających do spłaty w kolejnych latach - aktualizacja nie jest konieczna.</w:t>
      </w:r>
    </w:p>
    <w:p w:rsidR="00513CD1" w:rsidRPr="00340A1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40A1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 trakcie realizacji umowy Zamawiaj</w:t>
      </w:r>
      <w:r w:rsidRPr="00340A10">
        <w:rPr>
          <w:rFonts w:ascii="Times New Roman" w:hAnsi="Times New Roman" w:hint="eastAsia"/>
          <w:color w:val="000000" w:themeColor="text1"/>
          <w:sz w:val="24"/>
          <w:szCs w:val="24"/>
          <w:lang w:eastAsia="en-US"/>
        </w:rPr>
        <w:t>ą</w:t>
      </w:r>
      <w:r w:rsidRPr="00340A1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cy dopuszcza mo</w:t>
      </w:r>
      <w:r w:rsidRPr="00340A10">
        <w:rPr>
          <w:rFonts w:ascii="Times New Roman" w:hAnsi="Times New Roman" w:hint="eastAsia"/>
          <w:color w:val="000000" w:themeColor="text1"/>
          <w:sz w:val="24"/>
          <w:szCs w:val="24"/>
          <w:lang w:eastAsia="en-US"/>
        </w:rPr>
        <w:t>ż</w:t>
      </w:r>
      <w:r w:rsidRPr="00340A1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liwo</w:t>
      </w:r>
      <w:r w:rsidRPr="00340A10">
        <w:rPr>
          <w:rFonts w:ascii="Times New Roman" w:hAnsi="Times New Roman" w:hint="eastAsia"/>
          <w:color w:val="000000" w:themeColor="text1"/>
          <w:sz w:val="24"/>
          <w:szCs w:val="24"/>
          <w:lang w:eastAsia="en-US"/>
        </w:rPr>
        <w:t>ść</w:t>
      </w:r>
      <w:r w:rsidRPr="00340A10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zmiany sp</w:t>
      </w:r>
      <w:r w:rsidRPr="00340A10">
        <w:rPr>
          <w:rFonts w:ascii="Times New Roman" w:hAnsi="Times New Roman" w:hint="eastAsia"/>
          <w:color w:val="000000" w:themeColor="text1"/>
          <w:sz w:val="24"/>
          <w:szCs w:val="24"/>
          <w:lang w:eastAsia="en-US"/>
        </w:rPr>
        <w:t>ł</w:t>
      </w:r>
      <w:r w:rsidRPr="00340A1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aty rat kredytu bez prowizji i op</w:t>
      </w:r>
      <w:r w:rsidRPr="00340A10">
        <w:rPr>
          <w:rFonts w:ascii="Times New Roman" w:hAnsi="Times New Roman" w:hint="eastAsia"/>
          <w:color w:val="000000" w:themeColor="text1"/>
          <w:sz w:val="24"/>
          <w:szCs w:val="24"/>
          <w:lang w:eastAsia="en-US"/>
        </w:rPr>
        <w:t>ł</w:t>
      </w:r>
      <w:r w:rsidRPr="00340A1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at. Wysokość i termin spłaty kredytu/raty kredytu, mogą być zmienione na wniosek Zamawiającego złożony wraz z odpowiednim uzasadnieniem, najpóźniej na 15 dni roboczych przed terminem spłaty kredytu/raty kredytu, zaakceptowanym przez Wykonawcę. Zmiany w powyższym zakresie są dokonywane w formie aneksu do umowy, z wyj</w:t>
      </w:r>
      <w:r w:rsidRPr="00340A10">
        <w:rPr>
          <w:rFonts w:ascii="Times New Roman" w:hAnsi="Times New Roman" w:hint="eastAsia"/>
          <w:color w:val="000000" w:themeColor="text1"/>
          <w:sz w:val="24"/>
          <w:szCs w:val="24"/>
          <w:lang w:eastAsia="en-US"/>
        </w:rPr>
        <w:t>ą</w:t>
      </w:r>
      <w:r w:rsidRPr="00340A1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tkiem zapisu ust. 14.</w:t>
      </w:r>
    </w:p>
    <w:p w:rsidR="00513CD1" w:rsidRPr="00DA1505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DA1505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Spłata kredytu (kapitału) dokonywana będzie od marca 2025 roku do 31 grudnia 2038 roku, w okresach kwartalnych. Raty w latach 2025 – 2038 będą wynosić odpowiednio:</w:t>
      </w:r>
    </w:p>
    <w:p w:rsidR="00513CD1" w:rsidRPr="00DA1505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DA1505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2025 – 4 raty kwartalne w kwocie po 12 500,00 zł – łączna kwota rat: 50 000,00 zł;</w:t>
      </w:r>
    </w:p>
    <w:p w:rsidR="00513CD1" w:rsidRPr="00DA1505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DA1505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2026 – 4 raty kwartalne w kwocie po 12 500,00 zł – łączna kwota rat: 50 000,00 zł;</w:t>
      </w:r>
    </w:p>
    <w:p w:rsidR="00513CD1" w:rsidRPr="00DA1505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DA1505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2027 – 4 raty kwartalne w kwocie po 12 500,00 zł – łączna kwota rat: 50 000,00 zł;</w:t>
      </w:r>
    </w:p>
    <w:p w:rsidR="00513CD1" w:rsidRPr="00DA1505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DA1505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2028 – 4 raty kwartalne w kwocie po 12 500,00 zł – łączna kwota rat: 50 000,00 zł;</w:t>
      </w:r>
    </w:p>
    <w:p w:rsidR="00513CD1" w:rsidRPr="00C371FF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rok 2029 – </w:t>
      </w:r>
      <w:bookmarkStart w:id="0" w:name="_Hlk174211477"/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4 raty kwartalne w kwocie po 12 500,00 zł – łączna kwota rat: 50 000,00 zł;</w:t>
      </w:r>
      <w:bookmarkEnd w:id="0"/>
    </w:p>
    <w:p w:rsidR="00513CD1" w:rsidRPr="00C371FF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2030 – 4 raty kwartalne w kwocie po 12 500,00 zł – łączna kwota rat: 50 000,00 zł;</w:t>
      </w:r>
    </w:p>
    <w:p w:rsidR="00513CD1" w:rsidRPr="00C371FF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2031 – 4 raty kwartalne w kwocie po 12 500,00 zł – łączna kwota rat: 50 000,00 zł;</w:t>
      </w:r>
    </w:p>
    <w:p w:rsidR="00513CD1" w:rsidRPr="00C371FF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rok 2032 - </w:t>
      </w:r>
      <w:bookmarkStart w:id="1" w:name="_Hlk174211623"/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4 raty kwartalne w kwocie po 12 500,00 zł – łączna kwota rat: 50 000,00 zł;</w:t>
      </w:r>
    </w:p>
    <w:bookmarkEnd w:id="1"/>
    <w:p w:rsidR="00513CD1" w:rsidRPr="00C371FF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2033 - 4 raty kwartalne w kwocie po 12 500,00 zł – łączna kwota rat: 50 000,00 zł;</w:t>
      </w:r>
    </w:p>
    <w:p w:rsidR="00513CD1" w:rsidRPr="00C371FF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2034 - 4 raty kwartalne w kwocie po 12 500,00 zł – łączna kwota rat: 50 000,00 zł;</w:t>
      </w:r>
    </w:p>
    <w:p w:rsidR="00513CD1" w:rsidRPr="00C371FF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2035 - 4 raty kwartalne w kwocie po 12 500,00 zł – łączna kwota rat: 50 000,00 zł;</w:t>
      </w:r>
    </w:p>
    <w:p w:rsidR="00513CD1" w:rsidRPr="00C371FF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203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6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- 4 raty kwartalne w kwocie po 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25 0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00,00 zł – łączna kwota rat: 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10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0 000,00 zł;</w:t>
      </w:r>
    </w:p>
    <w:p w:rsidR="00513CD1" w:rsidRPr="00C371FF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203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7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- 4 raty kwartalne w kwocie po 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25 0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00,00 zł – łączna kwota rat: 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10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0 000,00 zł;</w:t>
      </w:r>
    </w:p>
    <w:p w:rsidR="00513CD1" w:rsidRPr="00C371FF" w:rsidRDefault="00513CD1" w:rsidP="00513CD1">
      <w:pPr>
        <w:widowControl w:val="0"/>
        <w:numPr>
          <w:ilvl w:val="1"/>
          <w:numId w:val="3"/>
        </w:numPr>
        <w:autoSpaceDE w:val="0"/>
        <w:autoSpaceDN w:val="0"/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</w:pP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rok 203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8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- 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3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raty kwartalne w kwocie po 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31 0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00,00 zł 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+ 1 rata kwartalna (grudzień) w kwocie 32 799,24 zł 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– łączna kwota rat: 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125 799,24</w:t>
      </w:r>
      <w:r w:rsidRPr="00C371FF"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 xml:space="preserve"> zł</w:t>
      </w:r>
      <w:r>
        <w:rPr>
          <w:rFonts w:ascii="Times New Roman" w:hAnsi="Times New Roman" w:cs="Times New Roman"/>
          <w:color w:val="000000" w:themeColor="text1"/>
          <w:kern w:val="3"/>
          <w:sz w:val="24"/>
          <w:szCs w:val="24"/>
          <w:lang w:eastAsia="zh-CN"/>
        </w:rPr>
        <w:t>.</w:t>
      </w:r>
    </w:p>
    <w:p w:rsidR="00513CD1" w:rsidRPr="00394350" w:rsidRDefault="00513CD1" w:rsidP="00513CD1">
      <w:pPr>
        <w:widowControl w:val="0"/>
        <w:autoSpaceDE w:val="0"/>
        <w:autoSpaceDN w:val="0"/>
        <w:ind w:left="720"/>
        <w:rPr>
          <w:rFonts w:ascii="Times New Roman" w:hAnsi="Times New Roman" w:cs="Times New Roman"/>
          <w:color w:val="FF0000"/>
          <w:kern w:val="3"/>
          <w:sz w:val="24"/>
          <w:szCs w:val="24"/>
          <w:lang w:eastAsia="zh-CN"/>
        </w:rPr>
      </w:pPr>
    </w:p>
    <w:p w:rsidR="00513CD1" w:rsidRPr="00EC5389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EC5389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Wysokość kwartalnych rat spłaty kapitału może ulec zmianie w zależności od faktycznego wykorzystania kredytu. W przypadku niewykorzystania w całości przyznanego kredytu, obniżenie rat nastąpi proporcjonalnie do wysokości kredytu, przy jednoczesnym </w:t>
      </w:r>
      <w:r w:rsidRPr="00EC5389">
        <w:rPr>
          <w:rFonts w:ascii="Times New Roman" w:hAnsi="Times New Roman"/>
          <w:color w:val="000000" w:themeColor="text1"/>
          <w:sz w:val="24"/>
          <w:szCs w:val="24"/>
          <w:lang w:eastAsia="en-US"/>
        </w:rPr>
        <w:lastRenderedPageBreak/>
        <w:t>uwzględnieniu zaokrągleń nowych wysokości rat do tysiąca złotych.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Za spłatę kredytu lub jego rat przyjmuje się dzień wpływu należności na rachunek kredytowy. Spłata rat następować będzie do ostatniego dnia roboczego kwartału.</w:t>
      </w:r>
      <w:r w:rsidRPr="00EC5389">
        <w:t xml:space="preserve"> </w:t>
      </w:r>
    </w:p>
    <w:p w:rsidR="00513CD1" w:rsidRPr="0039435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9435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Wykonawca będzie naliczał odsetki od faktycznego zadłużenia. Odsetki naliczane będą za rzeczywistą liczbę dni wykorzystania kredytu przy założeniu, że rok liczy 365 dni, a rok przestępny 366 dni.</w:t>
      </w:r>
    </w:p>
    <w:p w:rsidR="00513CD1" w:rsidRPr="00EC5389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EC5389">
        <w:rPr>
          <w:rFonts w:ascii="Times New Roman" w:hAnsi="Times New Roman"/>
          <w:color w:val="000000" w:themeColor="text1"/>
          <w:sz w:val="24"/>
          <w:szCs w:val="24"/>
          <w:lang w:eastAsia="en-US"/>
        </w:rPr>
        <w:t>Spłata odsetek następować będzie w okresach 1 miesięcznych, przy czym pierwszy okres 1 miesięczny liczony będzie od dnia wypłaty pierwszej transzy kredytu lub całości kredytu.</w:t>
      </w:r>
    </w:p>
    <w:p w:rsidR="00513CD1" w:rsidRPr="00562289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sz w:val="24"/>
          <w:szCs w:val="24"/>
          <w:lang w:eastAsia="en-US"/>
        </w:rPr>
      </w:pPr>
      <w:r w:rsidRPr="00562289">
        <w:rPr>
          <w:rFonts w:ascii="Times New Roman" w:hAnsi="Times New Roman"/>
          <w:sz w:val="24"/>
          <w:szCs w:val="24"/>
          <w:lang w:eastAsia="en-US"/>
        </w:rPr>
        <w:t>Spłata odsetek od wykorzystanego kredytu naliczana będzie w okresach miesięcznych od pierwszego do ostatniego dnia miesiąca i </w:t>
      </w:r>
      <w:r w:rsidRPr="00562289">
        <w:rPr>
          <w:rFonts w:ascii="Times New Roman" w:hAnsi="Times New Roman"/>
          <w:b/>
          <w:bCs/>
          <w:sz w:val="24"/>
          <w:szCs w:val="24"/>
          <w:lang w:eastAsia="en-US"/>
        </w:rPr>
        <w:t>pobierana do ostatniego dnia roboczego danego miesiąca.</w:t>
      </w:r>
      <w:r w:rsidRPr="0056228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62289">
        <w:rPr>
          <w:rFonts w:ascii="Times New Roman" w:hAnsi="Times New Roman"/>
          <w:b/>
          <w:bCs/>
          <w:sz w:val="24"/>
          <w:szCs w:val="24"/>
          <w:lang w:eastAsia="en-US"/>
        </w:rPr>
        <w:t>Ostatnia rata odsetkowa będzie płatna wraz z ostatnią ratą kapitałową</w:t>
      </w:r>
      <w:r w:rsidRPr="00562289">
        <w:rPr>
          <w:rFonts w:ascii="Times New Roman" w:hAnsi="Times New Roman"/>
          <w:sz w:val="24"/>
          <w:szCs w:val="24"/>
          <w:lang w:eastAsia="en-US"/>
        </w:rPr>
        <w:t>. Bank będzie informował każdorazowo Zamawiającego na piśmie o wysokości rat kapitałowych i odsetek do zapłaty, na co najmniej 5 dni przed terminem płatności drogą tradycyjną lub przekazywa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ł</w:t>
      </w:r>
      <w:r w:rsidRPr="00562289">
        <w:rPr>
          <w:rFonts w:ascii="Times New Roman" w:hAnsi="Times New Roman"/>
          <w:sz w:val="24"/>
          <w:szCs w:val="24"/>
          <w:lang w:eastAsia="en-US"/>
        </w:rPr>
        <w:t xml:space="preserve"> zawiadomienie o zmianie wysoko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ś</w:t>
      </w:r>
      <w:r w:rsidRPr="00562289">
        <w:rPr>
          <w:rFonts w:ascii="Times New Roman" w:hAnsi="Times New Roman"/>
          <w:sz w:val="24"/>
          <w:szCs w:val="24"/>
          <w:lang w:eastAsia="en-US"/>
        </w:rPr>
        <w:t>ci oprocentowania, które uwzgl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ę</w:t>
      </w:r>
      <w:r w:rsidRPr="00562289">
        <w:rPr>
          <w:rFonts w:ascii="Times New Roman" w:hAnsi="Times New Roman"/>
          <w:sz w:val="24"/>
          <w:szCs w:val="24"/>
          <w:lang w:eastAsia="en-US"/>
        </w:rPr>
        <w:t>dnia wysoko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ść</w:t>
      </w:r>
      <w:r w:rsidRPr="00562289">
        <w:rPr>
          <w:rFonts w:ascii="Times New Roman" w:hAnsi="Times New Roman"/>
          <w:sz w:val="24"/>
          <w:szCs w:val="24"/>
          <w:lang w:eastAsia="en-US"/>
        </w:rPr>
        <w:t xml:space="preserve"> nowego oprocentowania, najbli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ż</w:t>
      </w:r>
      <w:r w:rsidRPr="00562289">
        <w:rPr>
          <w:rFonts w:ascii="Times New Roman" w:hAnsi="Times New Roman"/>
          <w:sz w:val="24"/>
          <w:szCs w:val="24"/>
          <w:lang w:eastAsia="en-US"/>
        </w:rPr>
        <w:t>sz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ą</w:t>
      </w:r>
      <w:r w:rsidRPr="00562289">
        <w:rPr>
          <w:rFonts w:ascii="Times New Roman" w:hAnsi="Times New Roman"/>
          <w:sz w:val="24"/>
          <w:szCs w:val="24"/>
          <w:lang w:eastAsia="en-US"/>
        </w:rPr>
        <w:t xml:space="preserve"> kwot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ę</w:t>
      </w:r>
      <w:r w:rsidRPr="00562289">
        <w:rPr>
          <w:rFonts w:ascii="Times New Roman" w:hAnsi="Times New Roman"/>
          <w:sz w:val="24"/>
          <w:szCs w:val="24"/>
          <w:lang w:eastAsia="en-US"/>
        </w:rPr>
        <w:t xml:space="preserve"> odsetek i raty kapita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ł</w:t>
      </w:r>
      <w:r w:rsidRPr="00562289">
        <w:rPr>
          <w:rFonts w:ascii="Times New Roman" w:hAnsi="Times New Roman"/>
          <w:sz w:val="24"/>
          <w:szCs w:val="24"/>
          <w:lang w:eastAsia="en-US"/>
        </w:rPr>
        <w:t>owej, termin ich sp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ł</w:t>
      </w:r>
      <w:r w:rsidRPr="00562289">
        <w:rPr>
          <w:rFonts w:ascii="Times New Roman" w:hAnsi="Times New Roman"/>
          <w:sz w:val="24"/>
          <w:szCs w:val="24"/>
          <w:lang w:eastAsia="en-US"/>
        </w:rPr>
        <w:t>aty/naliczenia, bie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żą</w:t>
      </w:r>
      <w:r w:rsidRPr="00562289">
        <w:rPr>
          <w:rFonts w:ascii="Times New Roman" w:hAnsi="Times New Roman"/>
          <w:sz w:val="24"/>
          <w:szCs w:val="24"/>
          <w:lang w:eastAsia="en-US"/>
        </w:rPr>
        <w:t>ce saldo zad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ł</w:t>
      </w:r>
      <w:r w:rsidRPr="00562289">
        <w:rPr>
          <w:rFonts w:ascii="Times New Roman" w:hAnsi="Times New Roman"/>
          <w:sz w:val="24"/>
          <w:szCs w:val="24"/>
          <w:lang w:eastAsia="en-US"/>
        </w:rPr>
        <w:t>u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ż</w:t>
      </w:r>
      <w:r w:rsidRPr="00562289">
        <w:rPr>
          <w:rFonts w:ascii="Times New Roman" w:hAnsi="Times New Roman"/>
          <w:sz w:val="24"/>
          <w:szCs w:val="24"/>
          <w:lang w:eastAsia="en-US"/>
        </w:rPr>
        <w:t>enia, drog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ą</w:t>
      </w:r>
      <w:r w:rsidRPr="00562289">
        <w:rPr>
          <w:rFonts w:ascii="Times New Roman" w:hAnsi="Times New Roman"/>
          <w:sz w:val="24"/>
          <w:szCs w:val="24"/>
          <w:lang w:eastAsia="en-US"/>
        </w:rPr>
        <w:t xml:space="preserve"> elektroniczn</w:t>
      </w:r>
      <w:r w:rsidRPr="00562289">
        <w:rPr>
          <w:rFonts w:ascii="Times New Roman" w:hAnsi="Times New Roman" w:hint="eastAsia"/>
          <w:sz w:val="24"/>
          <w:szCs w:val="24"/>
          <w:lang w:eastAsia="en-US"/>
        </w:rPr>
        <w:t>ą</w:t>
      </w:r>
      <w:r w:rsidRPr="00562289">
        <w:rPr>
          <w:rFonts w:ascii="Times New Roman" w:hAnsi="Times New Roman"/>
          <w:sz w:val="24"/>
          <w:szCs w:val="24"/>
          <w:lang w:eastAsia="en-US"/>
        </w:rPr>
        <w:t xml:space="preserve"> na e-mail:</w:t>
      </w:r>
      <w:r w:rsidR="00DB562C" w:rsidRPr="00562289">
        <w:rPr>
          <w:rFonts w:ascii="Times New Roman" w:hAnsi="Times New Roman"/>
          <w:sz w:val="24"/>
          <w:szCs w:val="24"/>
          <w:lang w:eastAsia="en-US"/>
        </w:rPr>
        <w:t xml:space="preserve"> </w:t>
      </w:r>
      <w:hyperlink r:id="rId7" w:history="1">
        <w:r w:rsidR="00DB562C" w:rsidRPr="00562289">
          <w:rPr>
            <w:rStyle w:val="Hipercze"/>
            <w:rFonts w:ascii="Times New Roman" w:hAnsi="Times New Roman"/>
            <w:color w:val="auto"/>
            <w:sz w:val="24"/>
            <w:szCs w:val="24"/>
            <w:lang w:eastAsia="en-US"/>
          </w:rPr>
          <w:t>wyciagi@lubianka.pl</w:t>
        </w:r>
      </w:hyperlink>
      <w:r w:rsidR="00DB562C" w:rsidRPr="0056228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62289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513CD1" w:rsidRPr="00EC5389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EC5389">
        <w:rPr>
          <w:rFonts w:ascii="Times New Roman" w:hAnsi="Times New Roman"/>
          <w:color w:val="000000" w:themeColor="text1"/>
          <w:sz w:val="24"/>
          <w:szCs w:val="24"/>
          <w:lang w:eastAsia="en-US"/>
        </w:rPr>
        <w:t>Oprocentowanie kredytu jest zmienne, ustalone w oparciu o stawkę WIBOR 1M zaokrągloną do dwóch miejsc po przecinku powiększoną o stałą marżę banku. Zmiana oprocentowania kredytu następować będzie w trybie miesięcznym poprzez zmianę stawki przyjmując stawkę WIBOR 1M z ostatniego dnia roboczego miesiąca poprzedniego.</w:t>
      </w:r>
    </w:p>
    <w:p w:rsidR="00513CD1" w:rsidRPr="00DA2364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DA236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 przypadku likwidacji stawki WIBOR 1M zostanie ona, za porozumieniem stron w formie aneksu do umowy, zamieniona na stawkę, która zastąpi stawkę WIBOR 1M, albo stawkę najbardziej zbliżoną wielkością i charakterem do stawki WIBOR 1M, bez kosztów obciążających Zamawiającego. Zamawiający z wybranym wykonawcą uzgodni treść awaryjnych zapisów dotyczących zaprzestania publikowania stawki WIBOR 1M, które zostaną wprowadzone do umowy kredytu.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Stopa procentowa nie może być niższa niż marża banku, jak również nie może być niższa niż zero, co w praktyce oznacza, że w przypadku, gdy stawka bazowa WIBOR 1M osiągnie poziom poniżej zera, do wyliczenia stopy procentowej przyjęta zostanie stawka bazowa WIBOR 1M równa zero (0,00%). Powyższy zapis zostanie uzgodniony między stronami w umowie.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Wykonawca wyznaczy pracownika upoważnionego do kontaktów z Zamawiającym w sprawach związanych z wykorzystywanym kredytem.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tabs>
          <w:tab w:val="left" w:pos="346"/>
        </w:tabs>
        <w:suppressAutoHyphens/>
        <w:spacing w:after="100"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Wykonawca przed zawarciem umowy na wezwanie Zamawiającego, przedstawi projekt umowy (edytowalna wersja projektu umowy) wraz z harmonogramem spłat oraz dane osób upoważnionych do zawarcia umowy ze strony Wykonawcy oraz pracownika do kontaktów z Zamawiającym.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Zgodnie z art. 439 ust. 1 ustawy </w:t>
      </w:r>
      <w:proofErr w:type="spellStart"/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Pzp</w:t>
      </w:r>
      <w:proofErr w:type="spellEnd"/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, Zamawiający wskazuje następujące zasady wprowadzenia zmian wysokości wynagrodzenia należnego Wykonawcy w przypadku zmiany ceny materiałów lub kosztów związanych z realizacją zamówienia:</w:t>
      </w:r>
    </w:p>
    <w:p w:rsidR="00513CD1" w:rsidRPr="003323C2" w:rsidRDefault="00513CD1" w:rsidP="00513CD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miernikiem zmiany ceny materiałów lub kosztów związanych z realizacją zamówienia jest wskaźnik cen towarów i usług konsumpcyjnych ogółem w kwartale danego roku w </w:t>
      </w: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lastRenderedPageBreak/>
        <w:t>stosunku do poprzedniego kwartału, ustalany po zakończeniu każdego kwartału przez Prezesa Głównego Urzędu Statystycznego i ogłaszanego w Dzienniku Urzędowym RP „Monitor Polski”- dalej „Wskaźnik”. Link do aktualnego wskaźnika (III kwartał 2024 r.): https://stat.gov.pl</w:t>
      </w:r>
    </w:p>
    <w:p w:rsidR="00513CD1" w:rsidRPr="003323C2" w:rsidRDefault="00513CD1" w:rsidP="00513CD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Wysokość wynagrodzenia tj. wysokość marży Wykonawcy ulegnie zmianie (odpowiednio obniżeniu lub podwyższeniu), jeżeli „wskaźnik” ulegnie zmianie o co najmniej 45% w okresie kolejnych 6 miesięcy od dnia zawarcia umowy. Pierwsza zmiana nastąpi nie wcześniej niż po 6 miesiącach od dnia podpisania Umowy i nie będzie mogła ona zwiększyć/zmniejszyć (w zależności, która strona wnioskuje) zaoferowanej marży o więcej/mniej niż 0,2 punktu procentowego. Każda kolejna waloryzacja dokonywana będzie po upływie 6 miesięcy od poprzedniej waloryzacji pod warunkiem zmiany „wskaźnika” o co najmniej 45%.</w:t>
      </w:r>
    </w:p>
    <w:p w:rsidR="00513CD1" w:rsidRPr="003323C2" w:rsidRDefault="00513CD1" w:rsidP="00513CD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 przypadku zaistnienia sytuacji wskazanej w lit. b) Strony mogą wprowadzić zmianę wynagrodzenia po uprzednim przedstawieniu przez Stronę wniosku o dokonanie zmiany wysokości wynagrodzenia (zmiana wysokości marży) zawierającego uzasadnienie wskazującym wysokość wskaźnika oraz wpływ zmian na koszt wykonywania usługi przez zainteresowaną stronę.</w:t>
      </w:r>
    </w:p>
    <w:p w:rsidR="00513CD1" w:rsidRPr="003323C2" w:rsidRDefault="00513CD1" w:rsidP="00513CD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Maksymalna wartość zmiany wynagrodzenia, jaką dopuszcza Zamawiający w efekcie zastosowania postanowień o zasadach wprowadzania zmian wysokości wynagrodzenia nie może przekroczyć kumulatywnie zwiększenia marży wskazanej w Formularzu ofertowym o więcej niż 2 punkty procentowe.</w:t>
      </w:r>
    </w:p>
    <w:p w:rsidR="00513CD1" w:rsidRPr="003323C2" w:rsidRDefault="00513CD1" w:rsidP="00513CD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Zawarcie aneksu do umowy nastąpi nie później niż w terminie 10 dni roboczych licząc od dnia zatwierdzenia uznania przez Strony wniosku o dokonanie zmiany wysokości wynagrodzenia, o którym mowa w lit. c). Nowa wysokość marży będzie obowiązywała od dnia podpisania aneksu.</w:t>
      </w:r>
    </w:p>
    <w:p w:rsidR="00513CD1" w:rsidRPr="003323C2" w:rsidRDefault="00513CD1" w:rsidP="00513CD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 przypadku likwidacji Wskaźnika, o którym mowa w lit. a) lub zmiany podmiotu, który urzędowo go ustala, mechanizm, o którym mowa w lit a) stosuje się odpowiednio do wskaźnika i podmiotu, który zgodnie z odpowiednimi przepisami prawa zastąpi dotychczasowy Wskaźnik lub podmiot.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Zamawiający przewiduje możliwość zmian postanowień zawartej umowy (tzw. zmiany kontraktowe w oparciu o art. 455 ust. 1 pkt 1 ustawy) w stosunku do treści oferty, na podstawie, której dokonano wyboru Wykonawcy: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1) Strony dopuszczają możliwość zmiany postanowień zawartej umowy w stosunku do treści oferty, na podstawie, której dokonano wyboru Wykonawcy za zgodą Stron umowy w zakresie przedłużenia okresu kredytowania i zmiany harmonogramu spłat kredytu dodatkowo do 24 miesięcy.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2) Strony dopuszczają zmianę terminów spłaty kredytu za zgodą Stron, jeżeli zmiana ta wynika z przyczyn niezależnych od Stron umowy pomimo dochowania należytej stronności.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(Bank będzie miał prawo przed zmianami postanowień umowy w formie aneksu do umowy, zweryfikować sytuację finansową Gminy, np. poprzez stwierdzenie posiadania zdolności kredytowej, zweryfikowanej przez Bank w oparciu o powszechnie obowiązujące przepisy i przepisy wewnętrzne Banku)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Zamawiający nie przewiduje tzw. „raty balonowej” tj. spłaty całości kapitału na koniec okresu kredytowania.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Zamawiający naliczy karę umowną wykonawcy z tytułu braku zapłaty lub nieterminowej</w:t>
      </w: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3323C2">
        <w:rPr>
          <w:rFonts w:ascii="Times New Roman" w:hAnsi="Times New Roman"/>
          <w:color w:val="000000" w:themeColor="text1"/>
          <w:sz w:val="24"/>
          <w:szCs w:val="24"/>
        </w:rPr>
        <w:lastRenderedPageBreak/>
        <w:t>zapłaty wynagrodzenia należnego podwykonawcom z tytułu zmiany wysokości</w:t>
      </w: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3323C2">
        <w:rPr>
          <w:rFonts w:ascii="Times New Roman" w:hAnsi="Times New Roman"/>
          <w:color w:val="000000" w:themeColor="text1"/>
          <w:sz w:val="24"/>
          <w:szCs w:val="24"/>
        </w:rPr>
        <w:t xml:space="preserve">wynagrodzenia, o której mowa w art. 439 ust. 5 ustawy </w:t>
      </w:r>
      <w:proofErr w:type="spellStart"/>
      <w:r w:rsidRPr="003323C2">
        <w:rPr>
          <w:rFonts w:ascii="Times New Roman" w:hAnsi="Times New Roman"/>
          <w:color w:val="000000" w:themeColor="text1"/>
          <w:sz w:val="24"/>
          <w:szCs w:val="24"/>
        </w:rPr>
        <w:t>Pzp</w:t>
      </w:r>
      <w:proofErr w:type="spellEnd"/>
      <w:r w:rsidRPr="003323C2">
        <w:rPr>
          <w:rFonts w:ascii="Times New Roman" w:hAnsi="Times New Roman"/>
          <w:color w:val="000000" w:themeColor="text1"/>
          <w:sz w:val="24"/>
          <w:szCs w:val="24"/>
        </w:rPr>
        <w:t xml:space="preserve"> w wysokości 20 000,00 zł</w:t>
      </w: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3323C2">
        <w:rPr>
          <w:rFonts w:ascii="Times New Roman" w:hAnsi="Times New Roman"/>
          <w:color w:val="000000" w:themeColor="text1"/>
          <w:sz w:val="24"/>
          <w:szCs w:val="24"/>
        </w:rPr>
        <w:t>(liczoną za każdy przypadek naruszenia osobno).</w:t>
      </w:r>
    </w:p>
    <w:p w:rsidR="00513CD1" w:rsidRPr="00394350" w:rsidRDefault="00513CD1" w:rsidP="00513CD1">
      <w:pPr>
        <w:rPr>
          <w:rFonts w:ascii="Times New Roman" w:hAnsi="Times New Roman"/>
          <w:color w:val="FF0000"/>
          <w:sz w:val="24"/>
          <w:szCs w:val="24"/>
        </w:rPr>
      </w:pP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WYMAGANIA W ZAKRESIE ZATRUDNIANIA OSÓB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Zgodnie z art. 95 ust. 1 ustawy </w:t>
      </w:r>
      <w:proofErr w:type="spellStart"/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Pzp</w:t>
      </w:r>
      <w:proofErr w:type="spellEnd"/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. Zamawiający podczas realizacji zamówienia, wymaga zatrudnienia przez Wykonawcę lub Podwykonawcę na podstawie umowy o pracę/spółdzielczej umowy o pracę osób, które będą wykonywać następujące czynności w zakresie czynności bezpośrednio związane z udzieleniem i obsługą kredytu w trakcie trwania umowy.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 trakcie realizacji zamówienia Zamawiający zastrzega sobie prawo do wykonywania czynności kontrolnych wobec Wykonawcy lub Podwykonawcy odnośnie spełniania wymogu, o którym mowa w ust. 31.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 ramach sprawowanych czynności kontrolnych Zamawiający uprawniony jest w szczególności do: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1) żądania oświadczeń i dokumentów w zakresie potwierdzenia spełniania ww. wymogów i dokonywania ich oceny,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2) żądania wyjaśnień w przypadku wątpliwości w zakresie potwierdzania spełniania wymogu zatrudnienia na podstawie umowy o pracę,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3) przeprowadzenia kontroli na miejscu wykonywania świadczeń.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 trakcie realizacji zamówienia, Wykonawca lub Podwykonawca zobowiązany jest przedłożyć Zamawiającemu dowody potwierdzające spełnianie wymogu zatrudnienia na podstawie umowy o pracę osób wykonujących czynności, o których mowa w ust. 31, na każde jego wezwanie, w wyznaczonym w wezwaniu terminie.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Dowody, o których mowa w ust. 34, to w szczególności: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1) oświadczenie Wykonawcy lub Podwykonawcy o zatrudnieniu na podstawie umowy o pracę osób wykonujących czynności, których dotyczy wezwanie Zamawiającego; Oświadczenie to powinno zawierać w szczególności dokładne określenie podmiotu składającego oświadczenie, datę złożenia oświadczenia, wskazanie, że objęte żądaniem Zamawiającego czynności wykonują osoby zatrudnione na podstawie umowy o pracę wraz ze wskazaniem liczby tych osób, imion i nazwisk tych osób, rodzaju umowy o pracę i wymiar etatu oraz podpis osoby uprawnionej do złożenia oświadczenia w imieniu Wykonawcy lub Podwykonawcy;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 xml:space="preserve">2) poświadczoną za zgodność z oryginałem odpowiednio przez Wykonawcę lub Podwykonawcę kopie umów o pracę osób wykonujących w trakcie realizacji zamówienia czynności, których dotyczy ww. oświadczenie Wykonawcy lub Podwykonawcy (wraz z dokumentem regulującym zakres obowiązków, jeżeli został sporządzony). Kopie umów o pracę powinny zostać zanonimizowane w sposób zapewniający ochronę danych osobowych pracowników, zgodnie z obowiązującymi przepisami (tj. w szczególności bez adresów, nr PESEL pracowników). Imię i nazwisko pracownika nie podlega </w:t>
      </w:r>
      <w:proofErr w:type="spellStart"/>
      <w:r w:rsidRPr="003323C2">
        <w:rPr>
          <w:rFonts w:ascii="Times New Roman" w:hAnsi="Times New Roman"/>
          <w:color w:val="000000" w:themeColor="text1"/>
          <w:sz w:val="24"/>
          <w:szCs w:val="24"/>
        </w:rPr>
        <w:t>anonimizacji</w:t>
      </w:r>
      <w:proofErr w:type="spellEnd"/>
      <w:r w:rsidRPr="003323C2">
        <w:rPr>
          <w:rFonts w:ascii="Times New Roman" w:hAnsi="Times New Roman"/>
          <w:color w:val="000000" w:themeColor="text1"/>
          <w:sz w:val="24"/>
          <w:szCs w:val="24"/>
        </w:rPr>
        <w:t>. Informacje takie jak: data zawarcia umowy, rodzaj umowy o pracę i wymiar etatu powinny być możliwe do zidentyfikowania;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3) zaświadczenie właściwego oddziału ZUS, potwierdzające opłacanie przez Wykonawcę lub Podwykonawcę składek na ubezpieczenia społeczne i zdrowotne, z tytułu zatrudnienia na podstawie umów o pracę za ostatni okres rozliczeniowy;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4) poświadczoną za zgodność z oryginałem odpowiednio przez Wykonawcę lub Podwykonawcę, kopię dowodu potwierdzającego zgłoszenie pracownika przez pracodawcę do ubezpieczeń, zanonimizowaną w sposób zapewniający ochronę danych osobowych pracowników, zgodnie z obowiązującymi przepisami.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Imię i nazwisko pracownika nie podlega </w:t>
      </w:r>
      <w:proofErr w:type="spellStart"/>
      <w:r w:rsidRPr="003323C2">
        <w:rPr>
          <w:rFonts w:ascii="Times New Roman" w:hAnsi="Times New Roman"/>
          <w:color w:val="000000" w:themeColor="text1"/>
          <w:sz w:val="24"/>
          <w:szCs w:val="24"/>
        </w:rPr>
        <w:t>anonimizacji</w:t>
      </w:r>
      <w:proofErr w:type="spellEnd"/>
      <w:r w:rsidRPr="003323C2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5) wykaz wszystkich pracowników Wykonawcy/Podwykonawcy, zatrudnionych na podstawie umowy o pracę, którzy uczestniczą w realizacji niniejszego zamówienia. Wykaz winien zawierać, co najmniej następujące informacje: imię i nazwisko, termin obowiązywania umowy o pracę (od dnia – do dnia), rodzaj /zakres wykonywanych czynności/usług.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 przypadku uzasadnionych wątpliwości, co do przestrzegania wymogu zatrudniania na podstawie umowy o pracę przez Wykonawcę lub Podwykonawcę, Zamawiający zastrzega sobie prawo do zwrócenia się do Państwowej Inspekcji Pracy o przeprowadzenie kontroli.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Opis sposobu egzekwowania w/w wymogu:</w:t>
      </w:r>
    </w:p>
    <w:p w:rsidR="00513CD1" w:rsidRPr="003323C2" w:rsidRDefault="00513CD1" w:rsidP="00513CD1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</w:rPr>
        <w:t>- w każdym momencie trwania umowy Zamawiający może żądać od Wykonawcy w terminie 5 dni kalendarzowych przedłożenia oświadczenia Wykonawcy lub podwykonawcy o zatrudnieniu na podstawie umowy o pracę (w rozumieniu przepisów Ustawy z dnia 25 czerwca 1974 r. Kodeks Pracy, z uwzględnieniem minimalnego wynagrodzenia za pracę, ustalonego na podstawie art. 2 ust. 3 –5 Ustawy z dnia 10 października 2002 r. o minimalnym wynagrodzeniu za pracę).</w:t>
      </w:r>
    </w:p>
    <w:p w:rsidR="00513CD1" w:rsidRPr="003323C2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3323C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Wykonawca zapłaci zamawiającemu kary umowne za nieprzedłożenie oświadczeń i dokumentów opisanych w ust. 35 w wysokości 200 zł za każdy dzień zwłoki.</w:t>
      </w:r>
    </w:p>
    <w:p w:rsidR="00513CD1" w:rsidRPr="00340A10" w:rsidRDefault="00513CD1" w:rsidP="00513CD1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340A10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Jeżeli</w:t>
      </w:r>
      <w:r w:rsidRPr="00340A1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en-US"/>
        </w:rPr>
        <w:t xml:space="preserve"> </w:t>
      </w:r>
      <w:r w:rsidRPr="00340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data spłaty kredytu lub odsetek przypada na sobotę lub dzień ustawowo wolny od pracy uważa się, że ustalony termin został zachowany, jeśli spłata nastąpiła w pierwszym dniu roboczym po terminach określonym w załączniku nr 1 </w:t>
      </w:r>
      <w:proofErr w:type="spellStart"/>
      <w:r w:rsidRPr="00340A10">
        <w:rPr>
          <w:rFonts w:ascii="Times New Roman" w:hAnsi="Times New Roman" w:cs="Times New Roman"/>
          <w:color w:val="000000" w:themeColor="text1"/>
          <w:sz w:val="24"/>
          <w:szCs w:val="24"/>
        </w:rPr>
        <w:t>swz</w:t>
      </w:r>
      <w:proofErr w:type="spellEnd"/>
      <w:r w:rsidRPr="00340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(umowy kredytu). </w:t>
      </w:r>
    </w:p>
    <w:p w:rsidR="00513CD1" w:rsidRPr="00470D48" w:rsidRDefault="00513CD1" w:rsidP="00470D48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340A10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Zamawiający nie złoży oświadczenia o poddaniu się egzekucji, w formie aktu notarialnego zgodnie z art. 777 k.p.c.</w:t>
      </w:r>
    </w:p>
    <w:p w:rsidR="00513CD1" w:rsidRPr="00394350" w:rsidRDefault="00513CD1" w:rsidP="00513CD1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13CD1" w:rsidRPr="00394350" w:rsidRDefault="00513CD1" w:rsidP="00513CD1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65C2C" w:rsidRDefault="00165C2C"/>
    <w:sectPr w:rsidR="00165C2C" w:rsidSect="00436AA2">
      <w:headerReference w:type="default" r:id="rId8"/>
      <w:footerReference w:type="default" r:id="rId9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73E97" w:rsidRDefault="00D73E97" w:rsidP="00513CD1">
      <w:r>
        <w:separator/>
      </w:r>
    </w:p>
  </w:endnote>
  <w:endnote w:type="continuationSeparator" w:id="0">
    <w:p w:rsidR="00D73E97" w:rsidRDefault="00D73E97" w:rsidP="00513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1768978"/>
      <w:docPartObj>
        <w:docPartGallery w:val="Page Numbers (Bottom of Page)"/>
        <w:docPartUnique/>
      </w:docPartObj>
    </w:sdtPr>
    <w:sdtContent>
      <w:p w:rsidR="00436AA2" w:rsidRDefault="00436A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36AA2" w:rsidRDefault="00436A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73E97" w:rsidRDefault="00D73E97" w:rsidP="00513CD1">
      <w:r>
        <w:separator/>
      </w:r>
    </w:p>
  </w:footnote>
  <w:footnote w:type="continuationSeparator" w:id="0">
    <w:p w:rsidR="00D73E97" w:rsidRDefault="00D73E97" w:rsidP="00513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13CD1" w:rsidRPr="00C360FD" w:rsidRDefault="00513CD1" w:rsidP="00513CD1">
    <w:pPr>
      <w:pStyle w:val="Nagwek"/>
      <w:rPr>
        <w:rFonts w:ascii="Times New Roman" w:hAnsi="Times New Roman" w:cs="Times New Roman"/>
        <w:color w:val="FF0000"/>
        <w:sz w:val="24"/>
        <w:szCs w:val="24"/>
      </w:rPr>
    </w:pPr>
    <w:r w:rsidRPr="009E7EB0">
      <w:rPr>
        <w:rFonts w:ascii="Times New Roman" w:hAnsi="Times New Roman" w:cs="Times New Roman"/>
        <w:sz w:val="24"/>
        <w:szCs w:val="24"/>
      </w:rPr>
      <w:t xml:space="preserve">Numer postępowania: </w:t>
    </w:r>
    <w:r w:rsidR="00815F8E" w:rsidRPr="00815F8E">
      <w:rPr>
        <w:rFonts w:ascii="Times New Roman" w:hAnsi="Times New Roman" w:cs="Times New Roman"/>
        <w:b/>
        <w:bCs/>
        <w:sz w:val="24"/>
        <w:szCs w:val="24"/>
      </w:rPr>
      <w:t>SZP.271.1</w:t>
    </w:r>
    <w:r w:rsidR="00993DF1">
      <w:rPr>
        <w:rFonts w:ascii="Times New Roman" w:hAnsi="Times New Roman" w:cs="Times New Roman"/>
        <w:b/>
        <w:bCs/>
        <w:sz w:val="24"/>
        <w:szCs w:val="24"/>
      </w:rPr>
      <w:t>3</w:t>
    </w:r>
    <w:r w:rsidR="00815F8E" w:rsidRPr="00815F8E">
      <w:rPr>
        <w:rFonts w:ascii="Times New Roman" w:hAnsi="Times New Roman" w:cs="Times New Roman"/>
        <w:b/>
        <w:bCs/>
        <w:sz w:val="24"/>
        <w:szCs w:val="24"/>
      </w:rPr>
      <w:t>.2024</w:t>
    </w:r>
  </w:p>
  <w:p w:rsidR="00513CD1" w:rsidRDefault="00513C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A6B62"/>
    <w:multiLevelType w:val="hybridMultilevel"/>
    <w:tmpl w:val="3050FB6E"/>
    <w:lvl w:ilvl="0" w:tplc="7322816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A583B"/>
    <w:multiLevelType w:val="hybridMultilevel"/>
    <w:tmpl w:val="21E82A2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F4B0EFF"/>
    <w:multiLevelType w:val="hybridMultilevel"/>
    <w:tmpl w:val="8E06E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3E35AD"/>
    <w:multiLevelType w:val="hybridMultilevel"/>
    <w:tmpl w:val="05C240F4"/>
    <w:lvl w:ilvl="0" w:tplc="45BA5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834509">
    <w:abstractNumId w:val="0"/>
  </w:num>
  <w:num w:numId="2" w16cid:durableId="1305432902">
    <w:abstractNumId w:val="2"/>
  </w:num>
  <w:num w:numId="3" w16cid:durableId="1298293347">
    <w:abstractNumId w:val="1"/>
  </w:num>
  <w:num w:numId="4" w16cid:durableId="1685203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CD1"/>
    <w:rsid w:val="000C2400"/>
    <w:rsid w:val="00165C2C"/>
    <w:rsid w:val="00277B85"/>
    <w:rsid w:val="002A2FBB"/>
    <w:rsid w:val="003B2C9E"/>
    <w:rsid w:val="00436AA2"/>
    <w:rsid w:val="00470D48"/>
    <w:rsid w:val="00513CD1"/>
    <w:rsid w:val="00562289"/>
    <w:rsid w:val="007A4AF4"/>
    <w:rsid w:val="00815F8E"/>
    <w:rsid w:val="008631A7"/>
    <w:rsid w:val="008B4DED"/>
    <w:rsid w:val="00924698"/>
    <w:rsid w:val="009911BC"/>
    <w:rsid w:val="00993DF1"/>
    <w:rsid w:val="009A2DFA"/>
    <w:rsid w:val="00D72F9E"/>
    <w:rsid w:val="00D73E97"/>
    <w:rsid w:val="00DB562C"/>
    <w:rsid w:val="00E96AC2"/>
    <w:rsid w:val="00F5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37DA3"/>
  <w15:chartTrackingRefBased/>
  <w15:docId w15:val="{14AD71C8-3A63-486E-85CF-1F889D20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CD1"/>
    <w:pPr>
      <w:spacing w:after="0" w:line="240" w:lineRule="auto"/>
      <w:jc w:val="both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513CD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3CD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agwek31">
    <w:name w:val="Nagłówek 31"/>
    <w:basedOn w:val="Normalny"/>
    <w:uiPriority w:val="1"/>
    <w:qFormat/>
    <w:rsid w:val="00513CD1"/>
    <w:pPr>
      <w:widowControl w:val="0"/>
      <w:autoSpaceDE w:val="0"/>
      <w:autoSpaceDN w:val="0"/>
      <w:ind w:left="143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kapitzlist">
    <w:name w:val="List Paragraph"/>
    <w:aliases w:val="CW_Lista,Podsis rysunku,normalny tekst,L1,Numerowanie,2 heading,A_wyliczenie,K-P_odwolanie,Akapit z listą5,maz_wyliczenie,opis dzialania,T_SZ_List Paragraph,Akapit z listą BS,Kolorowa lista — akcent 11,Colorful List Accent 1"/>
    <w:basedOn w:val="Normalny"/>
    <w:link w:val="AkapitzlistZnak"/>
    <w:uiPriority w:val="34"/>
    <w:qFormat/>
    <w:rsid w:val="00513CD1"/>
    <w:pPr>
      <w:widowControl w:val="0"/>
      <w:autoSpaceDE w:val="0"/>
      <w:autoSpaceDN w:val="0"/>
      <w:ind w:left="474" w:hanging="358"/>
    </w:pPr>
    <w:rPr>
      <w:rFonts w:ascii="Times New Roman" w:eastAsia="Times New Roman" w:hAnsi="Times New Roman" w:cs="Times New Roman"/>
      <w:lang w:eastAsia="en-US"/>
    </w:rPr>
  </w:style>
  <w:style w:type="character" w:styleId="Hipercze">
    <w:name w:val="Hyperlink"/>
    <w:basedOn w:val="Domylnaczcionkaakapitu"/>
    <w:uiPriority w:val="99"/>
    <w:unhideWhenUsed/>
    <w:rsid w:val="00513CD1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13CD1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513CD1"/>
    <w:pPr>
      <w:widowControl w:val="0"/>
      <w:spacing w:after="100"/>
      <w:jc w:val="left"/>
    </w:pPr>
    <w:rPr>
      <w:rFonts w:ascii="Arial" w:eastAsia="Arial" w:hAnsi="Arial" w:cs="Arial"/>
      <w:kern w:val="2"/>
      <w:lang w:eastAsia="en-US"/>
      <w14:ligatures w14:val="standardContextual"/>
    </w:rPr>
  </w:style>
  <w:style w:type="character" w:customStyle="1" w:styleId="AkapitzlistZnak">
    <w:name w:val="Akapit z listą Znak"/>
    <w:aliases w:val="CW_Lista Znak,Podsis rysunku Znak,normalny tekst Znak,L1 Znak,Numerowanie Znak,2 heading Znak,A_wyliczenie Znak,K-P_odwolanie Znak,Akapit z listą5 Znak,maz_wyliczenie Znak,opis dzialania Znak,T_SZ_List Paragraph Znak"/>
    <w:link w:val="Akapitzlist"/>
    <w:uiPriority w:val="34"/>
    <w:qFormat/>
    <w:rsid w:val="00513CD1"/>
    <w:rPr>
      <w:rFonts w:ascii="Times New Roman" w:eastAsia="Times New Roman" w:hAnsi="Times New Roman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3C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3CD1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3C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3CD1"/>
    <w:rPr>
      <w:rFonts w:eastAsiaTheme="minorEastAsia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2F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72F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yciagi@lubian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2396</Words>
  <Characters>14381</Characters>
  <Application>Microsoft Office Word</Application>
  <DocSecurity>0</DocSecurity>
  <Lines>119</Lines>
  <Paragraphs>33</Paragraphs>
  <ScaleCrop>false</ScaleCrop>
  <Company/>
  <LinksUpToDate>false</LinksUpToDate>
  <CharactersWithSpaces>16744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Szymeczko</dc:creator>
  <cp:keywords/>
  <dc:description/>
  <cp:lastModifiedBy>Marcin Szymeczko</cp:lastModifiedBy>
  <cp:revision>9</cp:revision>
  <cp:lastPrinted>2024-11-22T12:15:00Z</cp:lastPrinted>
  <dcterms:created xsi:type="dcterms:W3CDTF">2024-11-19T10:41:00Z</dcterms:created>
  <dcterms:modified xsi:type="dcterms:W3CDTF">2024-11-25T08:44:00Z</dcterms:modified>
</cp:coreProperties>
</file>