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275E" w14:textId="77777777" w:rsidR="008710E1" w:rsidRDefault="008710E1" w:rsidP="008710E1">
      <w:pPr>
        <w:ind w:right="-285"/>
        <w:rPr>
          <w:rFonts w:ascii="Calibri" w:hAnsi="Calibri" w:cs="Calibri"/>
          <w:sz w:val="22"/>
          <w:szCs w:val="22"/>
        </w:rPr>
      </w:pPr>
    </w:p>
    <w:p w14:paraId="7375E99B" w14:textId="500CFFCF" w:rsidR="003F4ABA" w:rsidRPr="003F4ABA" w:rsidRDefault="003F4ABA" w:rsidP="003F4ABA">
      <w:pPr>
        <w:spacing w:line="288" w:lineRule="auto"/>
        <w:jc w:val="both"/>
        <w:rPr>
          <w:rFonts w:ascii="Calibri" w:hAnsi="Calibri" w:cs="Calibri"/>
          <w:sz w:val="22"/>
          <w:szCs w:val="22"/>
        </w:rPr>
      </w:pPr>
      <w:r w:rsidRPr="003F4ABA">
        <w:rPr>
          <w:rFonts w:ascii="Calibri" w:hAnsi="Calibri" w:cs="Calibri"/>
          <w:sz w:val="22"/>
          <w:szCs w:val="22"/>
        </w:rPr>
        <w:t xml:space="preserve">                                                                                                                                       </w:t>
      </w:r>
      <w:r w:rsidRPr="00475313">
        <w:rPr>
          <w:rFonts w:ascii="Calibri" w:hAnsi="Calibri" w:cs="Calibri"/>
          <w:b/>
          <w:sz w:val="22"/>
          <w:szCs w:val="22"/>
        </w:rPr>
        <w:t xml:space="preserve">Gdańsk, dnia </w:t>
      </w:r>
      <w:r w:rsidR="0091473C">
        <w:rPr>
          <w:rFonts w:ascii="Calibri" w:hAnsi="Calibri" w:cs="Calibri"/>
          <w:b/>
          <w:sz w:val="22"/>
          <w:szCs w:val="22"/>
        </w:rPr>
        <w:t>2</w:t>
      </w:r>
      <w:r w:rsidR="00AF66EE">
        <w:rPr>
          <w:rFonts w:ascii="Calibri" w:hAnsi="Calibri" w:cs="Calibri"/>
          <w:b/>
          <w:sz w:val="22"/>
          <w:szCs w:val="22"/>
        </w:rPr>
        <w:t>2</w:t>
      </w:r>
      <w:r w:rsidR="004E0638">
        <w:rPr>
          <w:rFonts w:ascii="Calibri" w:hAnsi="Calibri" w:cs="Calibri"/>
          <w:b/>
          <w:sz w:val="22"/>
          <w:szCs w:val="22"/>
        </w:rPr>
        <w:t>.0</w:t>
      </w:r>
      <w:r w:rsidR="003F40EB">
        <w:rPr>
          <w:rFonts w:ascii="Calibri" w:hAnsi="Calibri" w:cs="Calibri"/>
          <w:b/>
          <w:sz w:val="22"/>
          <w:szCs w:val="22"/>
        </w:rPr>
        <w:t>8</w:t>
      </w:r>
      <w:r w:rsidR="004E0638">
        <w:rPr>
          <w:rFonts w:ascii="Calibri" w:hAnsi="Calibri" w:cs="Calibri"/>
          <w:b/>
          <w:sz w:val="22"/>
          <w:szCs w:val="22"/>
        </w:rPr>
        <w:t>.2022</w:t>
      </w:r>
      <w:r w:rsidR="004E0638">
        <w:rPr>
          <w:rFonts w:ascii="Calibri" w:hAnsi="Calibri" w:cs="Calibri"/>
          <w:sz w:val="22"/>
          <w:szCs w:val="22"/>
        </w:rPr>
        <w:t>r</w:t>
      </w:r>
    </w:p>
    <w:p w14:paraId="0D8FE2D0" w14:textId="77777777" w:rsidR="003F4ABA" w:rsidRDefault="003F4ABA" w:rsidP="003F4ABA">
      <w:pPr>
        <w:widowControl w:val="0"/>
        <w:autoSpaceDE w:val="0"/>
        <w:autoSpaceDN w:val="0"/>
        <w:adjustRightInd w:val="0"/>
        <w:spacing w:line="288" w:lineRule="auto"/>
        <w:jc w:val="both"/>
        <w:rPr>
          <w:rFonts w:ascii="Calibri" w:hAnsi="Calibri" w:cs="Calibri"/>
          <w:b/>
          <w:sz w:val="22"/>
          <w:szCs w:val="22"/>
        </w:rPr>
      </w:pPr>
      <w:r w:rsidRPr="003F4ABA">
        <w:rPr>
          <w:rFonts w:ascii="Calibri" w:hAnsi="Calibri" w:cs="Calibri"/>
          <w:b/>
          <w:sz w:val="22"/>
          <w:szCs w:val="22"/>
        </w:rPr>
        <w:t>GUM202</w:t>
      </w:r>
      <w:r w:rsidR="004E0638">
        <w:rPr>
          <w:rFonts w:ascii="Calibri" w:hAnsi="Calibri" w:cs="Calibri"/>
          <w:b/>
          <w:sz w:val="22"/>
          <w:szCs w:val="22"/>
        </w:rPr>
        <w:t>2</w:t>
      </w:r>
      <w:r w:rsidRPr="003F4ABA">
        <w:rPr>
          <w:rFonts w:ascii="Calibri" w:hAnsi="Calibri" w:cs="Calibri"/>
          <w:b/>
          <w:sz w:val="22"/>
          <w:szCs w:val="22"/>
        </w:rPr>
        <w:t xml:space="preserve"> ZP00</w:t>
      </w:r>
      <w:r w:rsidR="003F40EB">
        <w:rPr>
          <w:rFonts w:ascii="Calibri" w:hAnsi="Calibri" w:cs="Calibri"/>
          <w:b/>
          <w:sz w:val="22"/>
          <w:szCs w:val="22"/>
        </w:rPr>
        <w:t>76</w:t>
      </w:r>
    </w:p>
    <w:p w14:paraId="63FCF0A5" w14:textId="7AD9420A" w:rsidR="003F4ABA" w:rsidRDefault="003F4ABA" w:rsidP="003F4ABA">
      <w:pPr>
        <w:widowControl w:val="0"/>
        <w:autoSpaceDE w:val="0"/>
        <w:autoSpaceDN w:val="0"/>
        <w:adjustRightInd w:val="0"/>
        <w:spacing w:line="288" w:lineRule="auto"/>
        <w:jc w:val="both"/>
        <w:rPr>
          <w:rFonts w:ascii="Calibri" w:hAnsi="Calibri" w:cs="Calibri"/>
          <w:sz w:val="22"/>
          <w:szCs w:val="22"/>
        </w:rPr>
      </w:pPr>
    </w:p>
    <w:p w14:paraId="7BC77B55" w14:textId="77777777" w:rsidR="000D3EE0" w:rsidRPr="003F4ABA" w:rsidRDefault="000D3EE0" w:rsidP="003F4ABA">
      <w:pPr>
        <w:widowControl w:val="0"/>
        <w:autoSpaceDE w:val="0"/>
        <w:autoSpaceDN w:val="0"/>
        <w:adjustRightInd w:val="0"/>
        <w:spacing w:line="288" w:lineRule="auto"/>
        <w:jc w:val="both"/>
        <w:rPr>
          <w:rFonts w:ascii="Calibri" w:hAnsi="Calibri" w:cs="Calibri"/>
          <w:sz w:val="22"/>
          <w:szCs w:val="22"/>
        </w:rPr>
      </w:pPr>
    </w:p>
    <w:p w14:paraId="79A8D4C9" w14:textId="5948DFE7" w:rsidR="003F4ABA" w:rsidRDefault="00844750" w:rsidP="003F4ABA">
      <w:pPr>
        <w:widowControl w:val="0"/>
        <w:autoSpaceDE w:val="0"/>
        <w:autoSpaceDN w:val="0"/>
        <w:adjustRightInd w:val="0"/>
        <w:spacing w:line="288" w:lineRule="auto"/>
        <w:jc w:val="center"/>
        <w:rPr>
          <w:rFonts w:ascii="Calibri" w:hAnsi="Calibri" w:cs="Calibri"/>
          <w:b/>
          <w:sz w:val="22"/>
          <w:szCs w:val="22"/>
        </w:rPr>
      </w:pPr>
      <w:r>
        <w:rPr>
          <w:rFonts w:ascii="Calibri" w:hAnsi="Calibri" w:cs="Calibri"/>
          <w:b/>
          <w:sz w:val="22"/>
          <w:szCs w:val="22"/>
        </w:rPr>
        <w:t xml:space="preserve">      </w:t>
      </w:r>
      <w:r w:rsidR="003F4ABA" w:rsidRPr="003F4ABA">
        <w:rPr>
          <w:rFonts w:ascii="Calibri" w:hAnsi="Calibri" w:cs="Calibri"/>
          <w:b/>
          <w:sz w:val="22"/>
          <w:szCs w:val="22"/>
        </w:rPr>
        <w:t>Do uczestników postępowania</w:t>
      </w:r>
    </w:p>
    <w:p w14:paraId="5BC28745" w14:textId="5F4F8B41" w:rsidR="00724DF4" w:rsidRPr="00724DF4" w:rsidRDefault="00724DF4" w:rsidP="003F4ABA">
      <w:pPr>
        <w:widowControl w:val="0"/>
        <w:autoSpaceDE w:val="0"/>
        <w:autoSpaceDN w:val="0"/>
        <w:adjustRightInd w:val="0"/>
        <w:spacing w:line="288" w:lineRule="auto"/>
        <w:jc w:val="center"/>
        <w:rPr>
          <w:rFonts w:ascii="Calibri" w:hAnsi="Calibri" w:cs="Calibri"/>
          <w:b/>
          <w:color w:val="FF0000"/>
          <w:sz w:val="22"/>
          <w:szCs w:val="22"/>
        </w:rPr>
      </w:pPr>
      <w:r w:rsidRPr="00724DF4">
        <w:rPr>
          <w:rFonts w:ascii="Calibri" w:hAnsi="Calibri" w:cs="Calibri"/>
          <w:b/>
          <w:color w:val="FF0000"/>
          <w:sz w:val="22"/>
          <w:szCs w:val="22"/>
        </w:rPr>
        <w:t xml:space="preserve">Doprecyzowanie </w:t>
      </w:r>
      <w:r w:rsidR="00020F17">
        <w:rPr>
          <w:rFonts w:ascii="Calibri" w:hAnsi="Calibri" w:cs="Calibri"/>
          <w:b/>
          <w:color w:val="FF0000"/>
          <w:sz w:val="22"/>
          <w:szCs w:val="22"/>
        </w:rPr>
        <w:t xml:space="preserve">zapisów udzielonych </w:t>
      </w:r>
      <w:r w:rsidRPr="00724DF4">
        <w:rPr>
          <w:rFonts w:ascii="Calibri" w:hAnsi="Calibri" w:cs="Calibri"/>
          <w:b/>
          <w:color w:val="FF0000"/>
          <w:sz w:val="22"/>
          <w:szCs w:val="22"/>
        </w:rPr>
        <w:t xml:space="preserve">odpowiedzi na pytania </w:t>
      </w:r>
    </w:p>
    <w:p w14:paraId="5CF823F8" w14:textId="77777777" w:rsidR="00B01810" w:rsidRPr="003F4ABA" w:rsidRDefault="00B01810" w:rsidP="003F4ABA">
      <w:pPr>
        <w:widowControl w:val="0"/>
        <w:autoSpaceDE w:val="0"/>
        <w:autoSpaceDN w:val="0"/>
        <w:adjustRightInd w:val="0"/>
        <w:spacing w:line="288" w:lineRule="auto"/>
        <w:jc w:val="both"/>
        <w:rPr>
          <w:rFonts w:ascii="Calibri" w:hAnsi="Calibri" w:cs="Calibri"/>
          <w:bCs/>
          <w:sz w:val="22"/>
          <w:szCs w:val="22"/>
        </w:rPr>
      </w:pPr>
    </w:p>
    <w:p w14:paraId="7C9359A7" w14:textId="77777777" w:rsidR="000D3EE0" w:rsidRDefault="000D3EE0" w:rsidP="004E0638">
      <w:pPr>
        <w:spacing w:line="288" w:lineRule="auto"/>
        <w:jc w:val="both"/>
        <w:rPr>
          <w:rFonts w:ascii="Calibri" w:eastAsia="Calibri" w:hAnsi="Calibri" w:cs="Calibri"/>
          <w:sz w:val="22"/>
          <w:szCs w:val="22"/>
          <w:lang w:eastAsia="en-US"/>
        </w:rPr>
      </w:pPr>
    </w:p>
    <w:p w14:paraId="3688D229" w14:textId="2ED355E7" w:rsidR="004E0638" w:rsidRPr="004E0638" w:rsidRDefault="003F4ABA" w:rsidP="004E0638">
      <w:pPr>
        <w:spacing w:line="288" w:lineRule="auto"/>
        <w:jc w:val="both"/>
        <w:rPr>
          <w:rFonts w:ascii="Calibri" w:eastAsia="Calibri" w:hAnsi="Calibri" w:cs="Calibri"/>
          <w:b/>
          <w:iCs/>
          <w:sz w:val="22"/>
          <w:szCs w:val="22"/>
          <w:lang w:eastAsia="en-US"/>
        </w:rPr>
      </w:pPr>
      <w:r w:rsidRPr="003F4ABA">
        <w:rPr>
          <w:rFonts w:ascii="Calibri" w:eastAsia="Calibri" w:hAnsi="Calibri" w:cs="Calibri"/>
          <w:sz w:val="22"/>
          <w:szCs w:val="22"/>
          <w:lang w:eastAsia="en-US"/>
        </w:rPr>
        <w:t xml:space="preserve">Dotyczy: </w:t>
      </w:r>
      <w:r w:rsidR="004E0638" w:rsidRPr="004E0638">
        <w:rPr>
          <w:rFonts w:ascii="Calibri" w:eastAsia="Calibri" w:hAnsi="Calibri" w:cs="Calibri"/>
          <w:b/>
          <w:iCs/>
          <w:sz w:val="22"/>
          <w:szCs w:val="22"/>
          <w:lang w:eastAsia="en-US"/>
        </w:rPr>
        <w:t>Sukcesywna dostawa produk</w:t>
      </w:r>
      <w:r w:rsidR="003F40EB">
        <w:rPr>
          <w:rFonts w:ascii="Calibri" w:eastAsia="Calibri" w:hAnsi="Calibri" w:cs="Calibri"/>
          <w:b/>
          <w:iCs/>
          <w:sz w:val="22"/>
          <w:szCs w:val="22"/>
          <w:lang w:eastAsia="en-US"/>
        </w:rPr>
        <w:t xml:space="preserve">tów leczniczych. </w:t>
      </w:r>
    </w:p>
    <w:p w14:paraId="39F34C68" w14:textId="77777777" w:rsidR="003F4ABA" w:rsidRPr="003F4ABA" w:rsidRDefault="003F4ABA" w:rsidP="003F4ABA">
      <w:pPr>
        <w:spacing w:line="288" w:lineRule="auto"/>
        <w:jc w:val="both"/>
        <w:rPr>
          <w:rFonts w:ascii="Calibri" w:hAnsi="Calibri" w:cs="Calibri"/>
          <w:sz w:val="22"/>
          <w:szCs w:val="22"/>
        </w:rPr>
      </w:pPr>
    </w:p>
    <w:p w14:paraId="45C6FFA2" w14:textId="6BFFFDB2" w:rsidR="003F4ABA" w:rsidRPr="003F4ABA" w:rsidRDefault="003F4ABA" w:rsidP="003F4ABA">
      <w:pPr>
        <w:spacing w:line="288" w:lineRule="auto"/>
        <w:jc w:val="both"/>
        <w:rPr>
          <w:rFonts w:ascii="Calibri" w:hAnsi="Calibri" w:cs="Calibri"/>
          <w:sz w:val="20"/>
          <w:szCs w:val="20"/>
        </w:rPr>
      </w:pPr>
      <w:r w:rsidRPr="003F4ABA">
        <w:rPr>
          <w:rFonts w:ascii="Calibri" w:hAnsi="Calibri" w:cs="Calibri"/>
          <w:sz w:val="20"/>
          <w:szCs w:val="20"/>
        </w:rPr>
        <w:t xml:space="preserve">Gdański Uniwersytet Medyczny, jako Zamawiający zawiadamia, iż </w:t>
      </w:r>
      <w:r w:rsidR="00736A26">
        <w:rPr>
          <w:rFonts w:ascii="Calibri" w:hAnsi="Calibri" w:cs="Calibri"/>
          <w:sz w:val="20"/>
          <w:szCs w:val="20"/>
        </w:rPr>
        <w:t xml:space="preserve">doprecyzowuje </w:t>
      </w:r>
      <w:r w:rsidR="009F4671">
        <w:rPr>
          <w:rFonts w:ascii="Calibri" w:hAnsi="Calibri" w:cs="Calibri"/>
          <w:sz w:val="20"/>
          <w:szCs w:val="20"/>
        </w:rPr>
        <w:t xml:space="preserve">zapisy udzielonych w dniu 12.09.2022r. </w:t>
      </w:r>
      <w:r w:rsidR="0003539B">
        <w:rPr>
          <w:rFonts w:ascii="Calibri" w:hAnsi="Calibri" w:cs="Calibri"/>
          <w:sz w:val="20"/>
          <w:szCs w:val="20"/>
        </w:rPr>
        <w:t xml:space="preserve">odpowiedzi na pytania nr 1, 2 i 10 </w:t>
      </w:r>
      <w:r w:rsidRPr="003F4ABA">
        <w:rPr>
          <w:rFonts w:ascii="Calibri" w:hAnsi="Calibri" w:cs="Calibri"/>
          <w:sz w:val="20"/>
          <w:szCs w:val="20"/>
        </w:rPr>
        <w:t>jak niżej:</w:t>
      </w:r>
    </w:p>
    <w:p w14:paraId="7E49B91F" w14:textId="33C91E04" w:rsidR="003F4ABA" w:rsidRPr="00C6647D" w:rsidRDefault="003F4ABA" w:rsidP="003F40EB">
      <w:pPr>
        <w:spacing w:line="360" w:lineRule="auto"/>
        <w:jc w:val="both"/>
        <w:rPr>
          <w:rFonts w:ascii="Calibri" w:hAnsi="Calibri" w:cs="Calibri"/>
          <w:b/>
          <w:sz w:val="20"/>
          <w:szCs w:val="20"/>
        </w:rPr>
      </w:pPr>
      <w:r w:rsidRPr="003F4ABA">
        <w:rPr>
          <w:rFonts w:ascii="Calibri" w:hAnsi="Calibri" w:cs="Calibri"/>
          <w:sz w:val="22"/>
          <w:szCs w:val="22"/>
        </w:rPr>
        <w:br/>
      </w:r>
      <w:r w:rsidRPr="00C6647D">
        <w:rPr>
          <w:rFonts w:ascii="Calibri" w:hAnsi="Calibri" w:cs="Calibri"/>
          <w:b/>
          <w:sz w:val="20"/>
          <w:szCs w:val="20"/>
        </w:rPr>
        <w:t>Pytanie 1</w:t>
      </w:r>
      <w:r w:rsidR="0091473C">
        <w:rPr>
          <w:rFonts w:ascii="Calibri" w:hAnsi="Calibri" w:cs="Calibri"/>
          <w:b/>
          <w:sz w:val="20"/>
          <w:szCs w:val="20"/>
        </w:rPr>
        <w:t xml:space="preserve"> – </w:t>
      </w:r>
      <w:r w:rsidR="0091473C" w:rsidRPr="0091473C">
        <w:rPr>
          <w:rFonts w:ascii="Calibri" w:hAnsi="Calibri" w:cs="Calibri"/>
          <w:b/>
          <w:color w:val="FF0000"/>
          <w:sz w:val="20"/>
          <w:szCs w:val="20"/>
        </w:rPr>
        <w:t>dotyczy Pakietu nr 1</w:t>
      </w:r>
    </w:p>
    <w:p w14:paraId="6D4FE135" w14:textId="77777777" w:rsidR="003F40EB" w:rsidRPr="003F40EB" w:rsidRDefault="003F40EB" w:rsidP="003F40EB">
      <w:pPr>
        <w:spacing w:line="360" w:lineRule="auto"/>
        <w:jc w:val="both"/>
        <w:rPr>
          <w:rFonts w:asciiTheme="minorHAnsi" w:hAnsiTheme="minorHAnsi" w:cstheme="minorHAnsi"/>
          <w:sz w:val="20"/>
          <w:szCs w:val="20"/>
        </w:rPr>
      </w:pPr>
      <w:r w:rsidRPr="003F40EB">
        <w:rPr>
          <w:rFonts w:asciiTheme="minorHAnsi" w:hAnsiTheme="minorHAnsi" w:cstheme="minorHAnsi"/>
          <w:sz w:val="20"/>
          <w:szCs w:val="20"/>
        </w:rPr>
        <w:t xml:space="preserve">Czy Zamawiający potwierdza, że ilekroć jest w dokumentach zamówienia mowa o „Ośrodku” lub „Ośrodku Klinicznym” należy przez to rozumieć </w:t>
      </w:r>
      <w:r w:rsidRPr="003F40EB">
        <w:rPr>
          <w:rFonts w:asciiTheme="minorHAnsi" w:hAnsiTheme="minorHAnsi" w:cstheme="minorHAnsi"/>
          <w:sz w:val="20"/>
          <w:szCs w:val="20"/>
          <w:u w:val="single"/>
        </w:rPr>
        <w:t>Aptekę Szpitalną</w:t>
      </w:r>
      <w:r w:rsidRPr="003F40EB">
        <w:rPr>
          <w:rFonts w:asciiTheme="minorHAnsi" w:hAnsiTheme="minorHAnsi" w:cstheme="minorHAnsi"/>
          <w:sz w:val="20"/>
          <w:szCs w:val="20"/>
        </w:rPr>
        <w:t xml:space="preserve"> Uniwersyteckiego Centrum Klinicznego w Gdańsku przy ul. Dębinki 7, (80-952) Gdańsk?</w:t>
      </w:r>
    </w:p>
    <w:p w14:paraId="2C7F8D57" w14:textId="77777777" w:rsidR="003F4ABA" w:rsidRPr="00C6647D" w:rsidRDefault="003F4ABA" w:rsidP="003F40EB">
      <w:pPr>
        <w:spacing w:line="360" w:lineRule="auto"/>
        <w:jc w:val="both"/>
        <w:rPr>
          <w:rFonts w:asciiTheme="minorHAnsi" w:hAnsiTheme="minorHAnsi" w:cstheme="minorHAnsi"/>
          <w:sz w:val="20"/>
          <w:szCs w:val="20"/>
        </w:rPr>
      </w:pPr>
      <w:r w:rsidRPr="00C6647D">
        <w:rPr>
          <w:rFonts w:ascii="Calibri" w:eastAsiaTheme="minorHAnsi" w:hAnsi="Calibri" w:cs="Calibri"/>
          <w:b/>
          <w:sz w:val="20"/>
          <w:szCs w:val="20"/>
          <w:lang w:eastAsia="en-US"/>
        </w:rPr>
        <w:t>Odpowiedź:</w:t>
      </w:r>
    </w:p>
    <w:p w14:paraId="345E096A" w14:textId="77777777" w:rsidR="004E0638" w:rsidRPr="003F40EB" w:rsidRDefault="003F40EB" w:rsidP="003F40EB">
      <w:pPr>
        <w:spacing w:line="360" w:lineRule="auto"/>
        <w:jc w:val="both"/>
        <w:rPr>
          <w:rFonts w:asciiTheme="minorHAnsi" w:eastAsiaTheme="minorHAnsi" w:hAnsiTheme="minorHAnsi" w:cstheme="minorHAnsi"/>
          <w:sz w:val="20"/>
          <w:szCs w:val="20"/>
        </w:rPr>
      </w:pPr>
      <w:r w:rsidRPr="003F40EB">
        <w:rPr>
          <w:rFonts w:asciiTheme="minorHAnsi" w:eastAsiaTheme="minorHAnsi" w:hAnsiTheme="minorHAnsi" w:cstheme="minorHAnsi"/>
          <w:sz w:val="20"/>
          <w:szCs w:val="20"/>
        </w:rPr>
        <w:t>Tak, Ośrodkiem/ Ośrodkiem Klinicznym jest Apteka Szpitalna UCK : ul. Smoluchowskiego 17, 80 - 214 Gdańsk – badanie jednoośrodkowe.</w:t>
      </w:r>
    </w:p>
    <w:p w14:paraId="169BF3F0" w14:textId="77777777" w:rsidR="003F40EB" w:rsidRPr="00C6647D" w:rsidRDefault="003F40EB" w:rsidP="003F4ABA">
      <w:pPr>
        <w:spacing w:line="288" w:lineRule="auto"/>
        <w:jc w:val="both"/>
        <w:rPr>
          <w:rFonts w:ascii="Calibri" w:eastAsiaTheme="minorHAnsi" w:hAnsi="Calibri" w:cs="Calibri"/>
          <w:sz w:val="20"/>
          <w:szCs w:val="20"/>
          <w:lang w:eastAsia="en-US"/>
        </w:rPr>
      </w:pPr>
    </w:p>
    <w:p w14:paraId="77E9FC26" w14:textId="3D5D7666" w:rsidR="004E0638" w:rsidRPr="00C6647D" w:rsidRDefault="004E0638" w:rsidP="003F40EB">
      <w:pPr>
        <w:spacing w:line="360" w:lineRule="auto"/>
        <w:jc w:val="both"/>
        <w:rPr>
          <w:rFonts w:ascii="Calibri" w:eastAsiaTheme="minorHAnsi" w:hAnsi="Calibri" w:cs="Calibri"/>
          <w:b/>
          <w:sz w:val="20"/>
          <w:szCs w:val="20"/>
          <w:lang w:eastAsia="en-US"/>
        </w:rPr>
      </w:pPr>
      <w:r w:rsidRPr="00C6647D">
        <w:rPr>
          <w:rFonts w:ascii="Calibri" w:eastAsiaTheme="minorHAnsi" w:hAnsi="Calibri" w:cs="Calibri"/>
          <w:b/>
          <w:sz w:val="20"/>
          <w:szCs w:val="20"/>
          <w:lang w:eastAsia="en-US"/>
        </w:rPr>
        <w:t>Pytanie 2</w:t>
      </w:r>
      <w:r w:rsidR="0091473C">
        <w:rPr>
          <w:rFonts w:ascii="Calibri" w:eastAsiaTheme="minorHAnsi" w:hAnsi="Calibri" w:cs="Calibri"/>
          <w:b/>
          <w:sz w:val="20"/>
          <w:szCs w:val="20"/>
          <w:lang w:eastAsia="en-US"/>
        </w:rPr>
        <w:t xml:space="preserve"> - </w:t>
      </w:r>
      <w:r w:rsidR="0091473C" w:rsidRPr="0091473C">
        <w:rPr>
          <w:rFonts w:ascii="Calibri" w:hAnsi="Calibri" w:cs="Calibri"/>
          <w:b/>
          <w:color w:val="FF0000"/>
          <w:sz w:val="20"/>
          <w:szCs w:val="20"/>
        </w:rPr>
        <w:t>dotyczy Pakietu nr 1</w:t>
      </w:r>
    </w:p>
    <w:p w14:paraId="667B4652" w14:textId="77777777" w:rsidR="003F40EB" w:rsidRPr="003F40EB" w:rsidRDefault="003F40EB" w:rsidP="003F40EB">
      <w:pPr>
        <w:spacing w:line="360" w:lineRule="auto"/>
        <w:jc w:val="both"/>
        <w:rPr>
          <w:rFonts w:asciiTheme="minorHAnsi" w:hAnsiTheme="minorHAnsi" w:cstheme="minorHAnsi"/>
          <w:sz w:val="20"/>
          <w:szCs w:val="20"/>
        </w:rPr>
      </w:pPr>
      <w:r w:rsidRPr="003F40EB">
        <w:rPr>
          <w:rFonts w:asciiTheme="minorHAnsi" w:hAnsiTheme="minorHAnsi" w:cstheme="minorHAnsi"/>
          <w:sz w:val="20"/>
          <w:szCs w:val="20"/>
        </w:rPr>
        <w:t xml:space="preserve">Z uwagi na okoliczności w jakich realizowana będzie dostawa przedmiotowych produktów leczniczych (do realizacji niekomercyjnego badania klinicznego) prosimy o udzielenie informacji, jaki podmiot odpowiedzialny będzie za czynność </w:t>
      </w:r>
      <w:proofErr w:type="spellStart"/>
      <w:r w:rsidRPr="003F40EB">
        <w:rPr>
          <w:rFonts w:asciiTheme="minorHAnsi" w:hAnsiTheme="minorHAnsi" w:cstheme="minorHAnsi"/>
          <w:sz w:val="20"/>
          <w:szCs w:val="20"/>
        </w:rPr>
        <w:t>przeetykietowania</w:t>
      </w:r>
      <w:proofErr w:type="spellEnd"/>
      <w:r w:rsidRPr="003F40EB">
        <w:rPr>
          <w:rFonts w:asciiTheme="minorHAnsi" w:hAnsiTheme="minorHAnsi" w:cstheme="minorHAnsi"/>
          <w:sz w:val="20"/>
          <w:szCs w:val="20"/>
        </w:rPr>
        <w:t xml:space="preserve"> badanych produktów leczniczych oraz kto świadczył będzie usługę utylizacji?</w:t>
      </w:r>
    </w:p>
    <w:p w14:paraId="2245B632" w14:textId="77777777" w:rsidR="003F40EB" w:rsidRDefault="004E0638" w:rsidP="003F40EB">
      <w:pPr>
        <w:spacing w:after="200" w:line="360" w:lineRule="auto"/>
        <w:contextualSpacing/>
        <w:jc w:val="both"/>
        <w:rPr>
          <w:rFonts w:ascii="Calibri" w:eastAsiaTheme="minorHAnsi" w:hAnsi="Calibri" w:cs="Calibri"/>
          <w:b/>
          <w:sz w:val="20"/>
          <w:szCs w:val="20"/>
          <w:lang w:eastAsia="en-US"/>
        </w:rPr>
      </w:pPr>
      <w:r w:rsidRPr="00C6647D">
        <w:rPr>
          <w:rFonts w:ascii="Calibri" w:eastAsiaTheme="minorHAnsi" w:hAnsi="Calibri" w:cs="Calibri"/>
          <w:b/>
          <w:sz w:val="20"/>
          <w:szCs w:val="20"/>
          <w:lang w:eastAsia="en-US"/>
        </w:rPr>
        <w:t>Odpowiedź:</w:t>
      </w:r>
    </w:p>
    <w:p w14:paraId="676B600C" w14:textId="77777777" w:rsidR="003F40EB" w:rsidRPr="003F40EB" w:rsidRDefault="003F40EB" w:rsidP="003F40EB">
      <w:pPr>
        <w:spacing w:after="200" w:line="360" w:lineRule="auto"/>
        <w:contextualSpacing/>
        <w:jc w:val="both"/>
        <w:rPr>
          <w:rFonts w:asciiTheme="minorHAnsi" w:eastAsiaTheme="minorHAnsi" w:hAnsiTheme="minorHAnsi" w:cstheme="minorHAnsi"/>
          <w:b/>
          <w:sz w:val="20"/>
          <w:szCs w:val="20"/>
          <w:lang w:eastAsia="en-US"/>
        </w:rPr>
      </w:pPr>
      <w:r w:rsidRPr="003F40EB">
        <w:rPr>
          <w:rFonts w:asciiTheme="minorHAnsi" w:hAnsiTheme="minorHAnsi" w:cstheme="minorHAnsi"/>
          <w:sz w:val="20"/>
          <w:szCs w:val="20"/>
        </w:rPr>
        <w:t xml:space="preserve">Zamawiający nie dokonał na ten moment wyboru podmiotu odpowiedzialnego za </w:t>
      </w:r>
      <w:proofErr w:type="spellStart"/>
      <w:r w:rsidRPr="003F40EB">
        <w:rPr>
          <w:rFonts w:asciiTheme="minorHAnsi" w:hAnsiTheme="minorHAnsi" w:cstheme="minorHAnsi"/>
          <w:sz w:val="20"/>
          <w:szCs w:val="20"/>
        </w:rPr>
        <w:t>przeetykietowanie</w:t>
      </w:r>
      <w:proofErr w:type="spellEnd"/>
      <w:r w:rsidRPr="003F40EB">
        <w:rPr>
          <w:rFonts w:asciiTheme="minorHAnsi" w:hAnsiTheme="minorHAnsi" w:cstheme="minorHAnsi"/>
          <w:sz w:val="20"/>
          <w:szCs w:val="20"/>
        </w:rPr>
        <w:t>, utylizacja we własnym zakresie.</w:t>
      </w:r>
    </w:p>
    <w:p w14:paraId="0FBC6100" w14:textId="77777777" w:rsidR="00F76D17" w:rsidRPr="00844750" w:rsidRDefault="00F76D17" w:rsidP="003F4ABA">
      <w:pPr>
        <w:spacing w:after="200" w:line="276" w:lineRule="auto"/>
        <w:contextualSpacing/>
        <w:jc w:val="both"/>
        <w:rPr>
          <w:rFonts w:asciiTheme="minorHAnsi" w:eastAsia="Calibri" w:hAnsiTheme="minorHAnsi" w:cstheme="minorHAnsi"/>
          <w:b/>
          <w:bCs/>
          <w:sz w:val="22"/>
          <w:szCs w:val="22"/>
          <w:lang w:eastAsia="en-US"/>
        </w:rPr>
      </w:pPr>
    </w:p>
    <w:p w14:paraId="48E1F439" w14:textId="77777777" w:rsidR="00F76D17" w:rsidRPr="00844750" w:rsidRDefault="00F76D17" w:rsidP="00963D9A">
      <w:pPr>
        <w:spacing w:after="200" w:line="360"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Pytanie 10</w:t>
      </w:r>
    </w:p>
    <w:p w14:paraId="1F630387" w14:textId="079642DE" w:rsidR="00963D9A" w:rsidRPr="009F4671" w:rsidRDefault="00963D9A" w:rsidP="00963D9A">
      <w:pPr>
        <w:spacing w:after="200" w:line="360" w:lineRule="auto"/>
        <w:contextualSpacing/>
        <w:jc w:val="both"/>
        <w:rPr>
          <w:rFonts w:asciiTheme="minorHAnsi" w:hAnsiTheme="minorHAnsi" w:cstheme="minorHAnsi"/>
          <w:b/>
          <w:bCs/>
          <w:sz w:val="20"/>
          <w:szCs w:val="20"/>
        </w:rPr>
      </w:pPr>
      <w:r w:rsidRPr="00844750">
        <w:rPr>
          <w:rFonts w:asciiTheme="minorHAnsi" w:hAnsiTheme="minorHAnsi" w:cstheme="minorHAnsi"/>
          <w:sz w:val="20"/>
          <w:szCs w:val="20"/>
          <w:u w:val="single"/>
        </w:rPr>
        <w:t>Do §11 ust. 1 lit. d) wzoru umowy</w:t>
      </w:r>
      <w:r w:rsidR="0091473C">
        <w:rPr>
          <w:rFonts w:asciiTheme="minorHAnsi" w:hAnsiTheme="minorHAnsi" w:cstheme="minorHAnsi"/>
          <w:sz w:val="20"/>
          <w:szCs w:val="20"/>
          <w:u w:val="single"/>
        </w:rPr>
        <w:t xml:space="preserve"> </w:t>
      </w:r>
      <w:r w:rsidR="0091473C" w:rsidRPr="009F4671">
        <w:rPr>
          <w:rFonts w:asciiTheme="minorHAnsi" w:hAnsiTheme="minorHAnsi" w:cstheme="minorHAnsi"/>
          <w:b/>
          <w:bCs/>
          <w:color w:val="FF0000"/>
          <w:sz w:val="20"/>
          <w:szCs w:val="20"/>
          <w:u w:val="single"/>
        </w:rPr>
        <w:t>dla pakietu nr 1</w:t>
      </w:r>
    </w:p>
    <w:p w14:paraId="348B1D32" w14:textId="77777777" w:rsidR="00963D9A" w:rsidRPr="00844750" w:rsidRDefault="00963D9A" w:rsidP="00963D9A">
      <w:pPr>
        <w:spacing w:after="200" w:line="360" w:lineRule="auto"/>
        <w:contextualSpacing/>
        <w:jc w:val="both"/>
        <w:rPr>
          <w:rFonts w:asciiTheme="minorHAnsi" w:hAnsiTheme="minorHAnsi" w:cstheme="minorHAnsi"/>
          <w:sz w:val="20"/>
          <w:szCs w:val="20"/>
        </w:rPr>
      </w:pPr>
      <w:r w:rsidRPr="00844750">
        <w:rPr>
          <w:rFonts w:asciiTheme="minorHAnsi" w:hAnsiTheme="minorHAnsi" w:cstheme="minorHAnsi"/>
          <w:sz w:val="20"/>
          <w:szCs w:val="20"/>
        </w:rPr>
        <w:t xml:space="preserve">Czy Zamawiający wyrazi zgodę na usunięcie §11 ust. 1 lit. d) bowiem odwołuje się on do o dofinansowanie, której Wykonawca nie jest stroną i których postanowień nie zna i nie ma na nie wpływu. W przeciwnym wypadku, ww. postanowienie odwołujące się do w/w umowy należałoby uznać za nieważne, jako sprzeczne z naturą stosunku zobowiązaniowego (art. 58 § 3 k.c. w zw. z art. 58 § 1 k.c. w zw. z art. 353(1) k.c. w zw. z art. 8 PZP), bowiem Wykonawca nie zna całości zakresu swojego świadczenia. Ponadto, tak skonstruowany opis przedmiotu zamówienia jest niezgodny z art. 99 ust 1 PZP jako niejednoznaczny i niewyczerpujący, a także niezgodny z art. </w:t>
      </w:r>
      <w:r w:rsidRPr="00844750">
        <w:rPr>
          <w:rFonts w:asciiTheme="minorHAnsi" w:hAnsiTheme="minorHAnsi" w:cstheme="minorHAnsi"/>
          <w:sz w:val="20"/>
          <w:szCs w:val="20"/>
        </w:rPr>
        <w:lastRenderedPageBreak/>
        <w:t>16 pkt 1 PZP i art. 99 ust 4 PZP jako naruszający zasady uczciwej konkurencji. Co więcej, pozostawienie w/w zapisu w umowie stanowiłby o naruszeniu art. 455 ust 1 pkt 1 PZP, gdyż przesłanki zmiany umowy wskazane w tym zapisie nie zostały przewidziane w ogłoszeniu o zamówieniu lub dokumentach zamówienia, w postaci jasnych, precyzyjnych i jednoznacznych postanowień umownych. Przesłanka zmiany treści umowy o dofinansowanie jest dla Wykonawcy całkowicie niejasna i nieprecyzyjna (szczególnie, że odnosi się do treści Umowy, której Wykonawca nie zna i nie pozna). Stąd Zamawiający musiałby doprecyzować jakie konkretnie okoliczności powodowałyby zmianę umowy przetargowej. Ewentualnie, jeżeli Zamawiający nie wyrazi zgody na powyższe, to koniecznym pozostanie udostępnienie Wykonawcy przez Zamawiającego treść tej umowy i wskaże który zakres zmian tej umowy może wpłynąć na zmianę umowy zawieranej z Wykonawcą?</w:t>
      </w:r>
    </w:p>
    <w:p w14:paraId="57EBE81F" w14:textId="77777777" w:rsidR="00F76D17" w:rsidRPr="00844750" w:rsidRDefault="00F76D17" w:rsidP="00F76D17">
      <w:pPr>
        <w:spacing w:after="200" w:line="276" w:lineRule="auto"/>
        <w:contextualSpacing/>
        <w:jc w:val="both"/>
        <w:rPr>
          <w:rFonts w:asciiTheme="minorHAnsi" w:eastAsia="Calibri" w:hAnsiTheme="minorHAnsi" w:cstheme="minorHAnsi"/>
          <w:b/>
          <w:bCs/>
          <w:sz w:val="20"/>
          <w:szCs w:val="20"/>
          <w:lang w:eastAsia="en-US"/>
        </w:rPr>
      </w:pPr>
      <w:r w:rsidRPr="00844750">
        <w:rPr>
          <w:rFonts w:asciiTheme="minorHAnsi" w:eastAsia="Calibri" w:hAnsiTheme="minorHAnsi" w:cstheme="minorHAnsi"/>
          <w:b/>
          <w:bCs/>
          <w:sz w:val="20"/>
          <w:szCs w:val="20"/>
          <w:lang w:eastAsia="en-US"/>
        </w:rPr>
        <w:t>Odpowiedź:</w:t>
      </w:r>
    </w:p>
    <w:p w14:paraId="1034C8C1" w14:textId="77777777" w:rsidR="007A5E51" w:rsidRPr="00844750" w:rsidRDefault="007A5E51" w:rsidP="00F76D17">
      <w:pPr>
        <w:spacing w:after="200" w:line="276" w:lineRule="auto"/>
        <w:contextualSpacing/>
        <w:jc w:val="both"/>
        <w:rPr>
          <w:rFonts w:asciiTheme="minorHAnsi" w:eastAsia="Calibri" w:hAnsiTheme="minorHAnsi" w:cstheme="minorHAnsi"/>
          <w:bCs/>
          <w:sz w:val="20"/>
          <w:szCs w:val="20"/>
          <w:lang w:eastAsia="en-US"/>
        </w:rPr>
      </w:pPr>
      <w:r w:rsidRPr="00844750">
        <w:rPr>
          <w:rFonts w:asciiTheme="minorHAnsi" w:eastAsia="Calibri" w:hAnsiTheme="minorHAnsi" w:cstheme="minorHAnsi"/>
          <w:bCs/>
          <w:sz w:val="20"/>
          <w:szCs w:val="20"/>
          <w:lang w:eastAsia="en-US"/>
        </w:rPr>
        <w:t xml:space="preserve">Zamawiający wyraża zgodę. </w:t>
      </w:r>
    </w:p>
    <w:p w14:paraId="54063F45" w14:textId="77777777" w:rsidR="00963D9A" w:rsidRPr="00844750" w:rsidRDefault="00963D9A" w:rsidP="00F76D17">
      <w:pPr>
        <w:spacing w:after="200" w:line="276" w:lineRule="auto"/>
        <w:contextualSpacing/>
        <w:jc w:val="both"/>
        <w:rPr>
          <w:rFonts w:asciiTheme="minorHAnsi" w:eastAsia="Calibri" w:hAnsiTheme="minorHAnsi" w:cstheme="minorHAnsi"/>
          <w:b/>
          <w:bCs/>
          <w:sz w:val="20"/>
          <w:szCs w:val="20"/>
          <w:lang w:eastAsia="en-US"/>
        </w:rPr>
      </w:pPr>
    </w:p>
    <w:p w14:paraId="59C335A6" w14:textId="77777777" w:rsidR="0052399A" w:rsidRDefault="0052399A" w:rsidP="000D15A9">
      <w:pPr>
        <w:spacing w:line="360" w:lineRule="auto"/>
        <w:rPr>
          <w:rFonts w:ascii="Calibri" w:hAnsi="Calibri" w:cs="Calibri"/>
          <w:sz w:val="20"/>
          <w:szCs w:val="20"/>
        </w:rPr>
      </w:pPr>
    </w:p>
    <w:p w14:paraId="30EE1179" w14:textId="77777777" w:rsidR="0052399A" w:rsidRPr="000D15A9" w:rsidRDefault="0052399A" w:rsidP="000D15A9">
      <w:pPr>
        <w:spacing w:line="360" w:lineRule="auto"/>
        <w:rPr>
          <w:rFonts w:ascii="Calibri" w:hAnsi="Calibri" w:cs="Calibri"/>
          <w:sz w:val="20"/>
          <w:szCs w:val="20"/>
        </w:rPr>
      </w:pPr>
    </w:p>
    <w:p w14:paraId="68C069FC" w14:textId="77777777" w:rsidR="00736A26" w:rsidRPr="00736A26" w:rsidRDefault="003F4ABA" w:rsidP="00736A26">
      <w:pPr>
        <w:ind w:left="2832"/>
        <w:jc w:val="both"/>
        <w:rPr>
          <w:rFonts w:asciiTheme="minorHAnsi" w:eastAsiaTheme="minorHAnsi" w:hAnsiTheme="minorHAnsi" w:cs="Calibri"/>
          <w:i/>
          <w:color w:val="000000"/>
          <w:sz w:val="22"/>
          <w:szCs w:val="22"/>
          <w:lang w:eastAsia="en-US"/>
        </w:rPr>
      </w:pP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000D15A9" w:rsidRPr="000D15A9">
        <w:rPr>
          <w:rFonts w:asciiTheme="majorHAnsi" w:hAnsiTheme="majorHAnsi" w:cstheme="majorHAnsi"/>
          <w:i/>
          <w:sz w:val="20"/>
          <w:szCs w:val="20"/>
        </w:rPr>
        <w:t xml:space="preserve">                      </w:t>
      </w:r>
      <w:r w:rsidR="00736A26" w:rsidRPr="00736A26">
        <w:rPr>
          <w:rFonts w:ascii="Calibri" w:hAnsi="Calibri" w:cs="Calibri"/>
          <w:i/>
          <w:color w:val="000000"/>
          <w:sz w:val="22"/>
          <w:szCs w:val="22"/>
        </w:rPr>
        <w:t xml:space="preserve"> </w:t>
      </w:r>
      <w:r w:rsidR="00736A26" w:rsidRPr="00736A26">
        <w:rPr>
          <w:rFonts w:asciiTheme="minorHAnsi" w:eastAsiaTheme="minorHAnsi" w:hAnsiTheme="minorHAnsi" w:cs="Calibri"/>
          <w:i/>
          <w:color w:val="000000"/>
          <w:sz w:val="22"/>
          <w:szCs w:val="22"/>
          <w:lang w:eastAsia="en-US"/>
        </w:rPr>
        <w:t xml:space="preserve">                                               p.o. Kanclerza</w:t>
      </w:r>
    </w:p>
    <w:p w14:paraId="38AEE920" w14:textId="528A76F4" w:rsidR="00736A26" w:rsidRPr="00736A26" w:rsidRDefault="00736A26" w:rsidP="00736A26">
      <w:pPr>
        <w:suppressAutoHyphens/>
        <w:spacing w:line="259" w:lineRule="auto"/>
        <w:jc w:val="both"/>
        <w:rPr>
          <w:rFonts w:asciiTheme="minorHAnsi" w:eastAsiaTheme="minorHAnsi" w:hAnsiTheme="minorHAnsi" w:cs="Calibri"/>
          <w:i/>
          <w:color w:val="000000"/>
          <w:sz w:val="22"/>
          <w:szCs w:val="22"/>
          <w:lang w:eastAsia="en-US"/>
        </w:rPr>
      </w:pP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Pr>
          <w:rFonts w:asciiTheme="minorHAnsi" w:eastAsiaTheme="minorHAnsi" w:hAnsiTheme="minorHAnsi" w:cs="Calibri"/>
          <w:i/>
          <w:color w:val="000000"/>
          <w:sz w:val="22"/>
          <w:szCs w:val="22"/>
          <w:lang w:eastAsia="en-US"/>
        </w:rPr>
        <w:t xml:space="preserve">   </w:t>
      </w:r>
      <w:r w:rsidRPr="00736A26">
        <w:rPr>
          <w:rFonts w:asciiTheme="minorHAnsi" w:eastAsiaTheme="minorHAnsi" w:hAnsiTheme="minorHAnsi" w:cs="Calibri"/>
          <w:i/>
          <w:color w:val="000000"/>
          <w:sz w:val="22"/>
          <w:szCs w:val="22"/>
          <w:lang w:eastAsia="en-US"/>
        </w:rPr>
        <w:t>/-/</w:t>
      </w:r>
    </w:p>
    <w:p w14:paraId="29323EC7" w14:textId="31D87C19" w:rsidR="00736A26" w:rsidRPr="00736A26" w:rsidRDefault="00736A26" w:rsidP="00736A26">
      <w:pPr>
        <w:suppressAutoHyphens/>
        <w:spacing w:line="259" w:lineRule="auto"/>
        <w:jc w:val="both"/>
        <w:rPr>
          <w:rFonts w:asciiTheme="minorHAnsi" w:eastAsia="Calibri" w:hAnsiTheme="minorHAnsi" w:cs="Calibri"/>
          <w:i/>
          <w:sz w:val="22"/>
          <w:szCs w:val="22"/>
          <w:lang w:eastAsia="en-US"/>
        </w:rPr>
      </w:pPr>
      <w:r w:rsidRPr="00736A26">
        <w:rPr>
          <w:rFonts w:asciiTheme="minorHAnsi" w:eastAsiaTheme="minorHAnsi" w:hAnsiTheme="minorHAnsi" w:cs="Calibri"/>
          <w:i/>
          <w:color w:val="000000"/>
          <w:sz w:val="22"/>
          <w:szCs w:val="22"/>
          <w:lang w:eastAsia="en-US"/>
        </w:rPr>
        <w:tab/>
        <w:t xml:space="preserve"> </w:t>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Theme="minorHAnsi" w:hAnsiTheme="minorHAnsi" w:cs="Calibri"/>
          <w:i/>
          <w:color w:val="000000"/>
          <w:sz w:val="22"/>
          <w:szCs w:val="22"/>
          <w:lang w:eastAsia="en-US"/>
        </w:rPr>
        <w:tab/>
      </w:r>
      <w:r w:rsidRPr="00736A26">
        <w:rPr>
          <w:rFonts w:asciiTheme="minorHAnsi" w:eastAsia="Calibri" w:hAnsiTheme="minorHAnsi" w:cs="Calibri"/>
          <w:i/>
          <w:sz w:val="22"/>
          <w:szCs w:val="22"/>
          <w:lang w:eastAsia="en-US"/>
        </w:rPr>
        <w:t xml:space="preserve">prof. dr. hab. Jacek </w:t>
      </w:r>
      <w:proofErr w:type="spellStart"/>
      <w:r w:rsidRPr="00736A26">
        <w:rPr>
          <w:rFonts w:asciiTheme="minorHAnsi" w:eastAsia="Calibri" w:hAnsiTheme="minorHAnsi" w:cs="Calibri"/>
          <w:i/>
          <w:sz w:val="22"/>
          <w:szCs w:val="22"/>
          <w:lang w:eastAsia="en-US"/>
        </w:rPr>
        <w:t>Bigda</w:t>
      </w:r>
      <w:proofErr w:type="spellEnd"/>
      <w:r w:rsidRPr="00736A26">
        <w:rPr>
          <w:rFonts w:asciiTheme="minorHAnsi" w:eastAsia="Calibri" w:hAnsiTheme="minorHAnsi" w:cs="Calibri"/>
          <w:i/>
          <w:sz w:val="22"/>
          <w:szCs w:val="22"/>
          <w:lang w:eastAsia="en-US"/>
        </w:rPr>
        <w:t xml:space="preserve"> </w:t>
      </w:r>
    </w:p>
    <w:p w14:paraId="079F1D15" w14:textId="77777777" w:rsidR="00736A26" w:rsidRPr="00736A26" w:rsidRDefault="00736A26" w:rsidP="00736A26">
      <w:pPr>
        <w:keepNext/>
        <w:keepLines/>
        <w:suppressAutoHyphens/>
        <w:spacing w:before="40" w:line="259" w:lineRule="auto"/>
        <w:outlineLvl w:val="2"/>
        <w:rPr>
          <w:rFonts w:asciiTheme="majorHAnsi" w:eastAsiaTheme="majorEastAsia" w:hAnsiTheme="majorHAnsi" w:cs="Calibri"/>
          <w:color w:val="000000"/>
          <w:lang w:eastAsia="en-US"/>
        </w:rPr>
      </w:pPr>
    </w:p>
    <w:p w14:paraId="495C67BF" w14:textId="7E2B585C" w:rsidR="00B01810" w:rsidRPr="00B54308" w:rsidRDefault="00B01810" w:rsidP="00736A26">
      <w:pPr>
        <w:ind w:left="3540"/>
        <w:rPr>
          <w:rFonts w:asciiTheme="minorHAnsi" w:hAnsiTheme="minorHAnsi" w:cstheme="minorHAnsi"/>
          <w:i/>
          <w:sz w:val="20"/>
          <w:szCs w:val="20"/>
        </w:rPr>
      </w:pPr>
    </w:p>
    <w:p w14:paraId="7904EEDD" w14:textId="77777777" w:rsidR="0052399A" w:rsidRDefault="0052399A" w:rsidP="000C48DE">
      <w:pPr>
        <w:rPr>
          <w:rFonts w:asciiTheme="minorHAnsi" w:hAnsiTheme="minorHAnsi" w:cstheme="minorHAnsi"/>
          <w:sz w:val="20"/>
          <w:szCs w:val="20"/>
        </w:rPr>
      </w:pPr>
    </w:p>
    <w:p w14:paraId="4D4C8461" w14:textId="77777777" w:rsidR="0052399A" w:rsidRDefault="0052399A" w:rsidP="000C48DE">
      <w:pPr>
        <w:rPr>
          <w:rFonts w:asciiTheme="minorHAnsi" w:hAnsiTheme="minorHAnsi" w:cstheme="minorHAnsi"/>
          <w:sz w:val="20"/>
          <w:szCs w:val="20"/>
        </w:rPr>
      </w:pPr>
    </w:p>
    <w:p w14:paraId="0B7F4CE4" w14:textId="77777777" w:rsidR="0052399A" w:rsidRDefault="0052399A" w:rsidP="000C48DE">
      <w:pPr>
        <w:rPr>
          <w:rFonts w:asciiTheme="minorHAnsi" w:hAnsiTheme="minorHAnsi" w:cstheme="minorHAnsi"/>
          <w:sz w:val="20"/>
          <w:szCs w:val="20"/>
        </w:rPr>
      </w:pPr>
    </w:p>
    <w:p w14:paraId="2DB57D87" w14:textId="77777777" w:rsidR="0052399A" w:rsidRDefault="0052399A" w:rsidP="000C48DE">
      <w:pPr>
        <w:rPr>
          <w:rFonts w:asciiTheme="minorHAnsi" w:hAnsiTheme="minorHAnsi" w:cstheme="minorHAnsi"/>
          <w:sz w:val="20"/>
          <w:szCs w:val="20"/>
        </w:rPr>
      </w:pPr>
    </w:p>
    <w:p w14:paraId="269D6E73" w14:textId="77777777" w:rsidR="0052399A" w:rsidRDefault="0052399A" w:rsidP="000C48DE">
      <w:pPr>
        <w:rPr>
          <w:rFonts w:asciiTheme="minorHAnsi" w:hAnsiTheme="minorHAnsi" w:cstheme="minorHAnsi"/>
          <w:sz w:val="20"/>
          <w:szCs w:val="20"/>
        </w:rPr>
      </w:pPr>
    </w:p>
    <w:p w14:paraId="0C60BFB1" w14:textId="77777777" w:rsidR="00B31E84" w:rsidRPr="000D15A9" w:rsidRDefault="00B31E84" w:rsidP="000C48DE">
      <w:pPr>
        <w:rPr>
          <w:rFonts w:asciiTheme="minorHAnsi" w:hAnsiTheme="minorHAnsi" w:cstheme="minorHAnsi"/>
          <w:sz w:val="20"/>
          <w:szCs w:val="20"/>
        </w:rPr>
      </w:pPr>
    </w:p>
    <w:sectPr w:rsidR="00B31E84" w:rsidRPr="000D15A9" w:rsidSect="004E0638">
      <w:headerReference w:type="default" r:id="rId8"/>
      <w:footerReference w:type="default" r:id="rId9"/>
      <w:pgSz w:w="11906" w:h="16838"/>
      <w:pgMar w:top="1701" w:right="1417"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B91D" w14:textId="77777777" w:rsidR="00140517" w:rsidRDefault="00140517" w:rsidP="000A396A">
      <w:r>
        <w:separator/>
      </w:r>
    </w:p>
  </w:endnote>
  <w:endnote w:type="continuationSeparator" w:id="0">
    <w:p w14:paraId="1B29942B" w14:textId="77777777" w:rsidR="00140517" w:rsidRDefault="00140517" w:rsidP="000A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28A7" w14:textId="77777777" w:rsidR="006A4DF5" w:rsidRPr="00E02042" w:rsidRDefault="006A4DF5" w:rsidP="006A4DF5">
    <w:pPr>
      <w:pStyle w:val="Stopka"/>
      <w:spacing w:line="276" w:lineRule="auto"/>
      <w:jc w:val="center"/>
      <w:rPr>
        <w:rFonts w:ascii="Century Gothic" w:hAnsi="Century Gothic"/>
        <w:b/>
        <w:bCs/>
        <w:color w:val="02438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6AEAE" w14:textId="77777777" w:rsidR="00140517" w:rsidRDefault="00140517" w:rsidP="000A396A">
      <w:r>
        <w:separator/>
      </w:r>
    </w:p>
  </w:footnote>
  <w:footnote w:type="continuationSeparator" w:id="0">
    <w:p w14:paraId="4F9A6C10" w14:textId="77777777" w:rsidR="00140517" w:rsidRDefault="00140517" w:rsidP="000A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D252" w14:textId="77777777" w:rsidR="000A396A" w:rsidRDefault="004E0638" w:rsidP="004E0638">
    <w:pPr>
      <w:pStyle w:val="Nagwek"/>
    </w:pPr>
    <w:r>
      <w:t xml:space="preserve">    </w:t>
    </w:r>
    <w:r>
      <w:rPr>
        <w:noProof/>
        <w:lang w:eastAsia="pl-PL"/>
      </w:rPr>
      <w:drawing>
        <wp:inline distT="0" distB="0" distL="0" distR="0" wp14:anchorId="38AAA541" wp14:editId="05928502">
          <wp:extent cx="1657350" cy="733425"/>
          <wp:effectExtent l="0" t="0" r="0" b="0"/>
          <wp:docPr id="2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1657350" cy="733425"/>
                  </a:xfrm>
                  <a:prstGeom prst="rect">
                    <a:avLst/>
                  </a:prstGeom>
                </pic:spPr>
              </pic:pic>
            </a:graphicData>
          </a:graphic>
        </wp:inline>
      </w:drawing>
    </w:r>
    <w:r>
      <w:t xml:space="preserve">                                          </w:t>
    </w:r>
    <w:r>
      <w:rPr>
        <w:noProof/>
        <w:lang w:eastAsia="pl-PL"/>
      </w:rPr>
      <w:drawing>
        <wp:inline distT="0" distB="0" distL="0" distR="0" wp14:anchorId="610561C2" wp14:editId="26844CFC">
          <wp:extent cx="1609725" cy="876300"/>
          <wp:effectExtent l="0" t="0" r="0" b="0"/>
          <wp:docPr id="2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noChangeArrowheads="1"/>
                  </pic:cNvPicPr>
                </pic:nvPicPr>
                <pic:blipFill>
                  <a:blip r:embed="rId2"/>
                  <a:stretch>
                    <a:fillRect/>
                  </a:stretch>
                </pic:blipFill>
                <pic:spPr bwMode="auto">
                  <a:xfrm>
                    <a:off x="0" y="0"/>
                    <a:ext cx="1609725"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70D"/>
    <w:multiLevelType w:val="hybridMultilevel"/>
    <w:tmpl w:val="BB2074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2300051"/>
    <w:multiLevelType w:val="hybridMultilevel"/>
    <w:tmpl w:val="E5A8FA0C"/>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 w15:restartNumberingAfterBreak="0">
    <w:nsid w:val="64E14E51"/>
    <w:multiLevelType w:val="hybridMultilevel"/>
    <w:tmpl w:val="9814C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FDA40ED"/>
    <w:multiLevelType w:val="hybridMultilevel"/>
    <w:tmpl w:val="BB2074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71142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32230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98630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2409995">
    <w:abstractNumId w:val="2"/>
  </w:num>
  <w:num w:numId="5" w16cid:durableId="590889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6A"/>
    <w:rsid w:val="00020F17"/>
    <w:rsid w:val="0003539B"/>
    <w:rsid w:val="0004045D"/>
    <w:rsid w:val="000A2043"/>
    <w:rsid w:val="000A396A"/>
    <w:rsid w:val="000C48DE"/>
    <w:rsid w:val="000D15A9"/>
    <w:rsid w:val="000D3EE0"/>
    <w:rsid w:val="001057C5"/>
    <w:rsid w:val="00135145"/>
    <w:rsid w:val="00140517"/>
    <w:rsid w:val="001518F7"/>
    <w:rsid w:val="00156D62"/>
    <w:rsid w:val="00176252"/>
    <w:rsid w:val="00182401"/>
    <w:rsid w:val="00195448"/>
    <w:rsid w:val="001C6021"/>
    <w:rsid w:val="001F325E"/>
    <w:rsid w:val="00223323"/>
    <w:rsid w:val="00245BC6"/>
    <w:rsid w:val="00262C04"/>
    <w:rsid w:val="002C0AD9"/>
    <w:rsid w:val="002F1D04"/>
    <w:rsid w:val="002F4718"/>
    <w:rsid w:val="00365D10"/>
    <w:rsid w:val="003921AF"/>
    <w:rsid w:val="00392C41"/>
    <w:rsid w:val="003C11CE"/>
    <w:rsid w:val="003D298F"/>
    <w:rsid w:val="003F40EB"/>
    <w:rsid w:val="003F4177"/>
    <w:rsid w:val="003F4ABA"/>
    <w:rsid w:val="00452D71"/>
    <w:rsid w:val="00456519"/>
    <w:rsid w:val="00475313"/>
    <w:rsid w:val="00483959"/>
    <w:rsid w:val="00492260"/>
    <w:rsid w:val="004B1C5C"/>
    <w:rsid w:val="004B49EE"/>
    <w:rsid w:val="004D46A4"/>
    <w:rsid w:val="004E0638"/>
    <w:rsid w:val="005072A4"/>
    <w:rsid w:val="00521895"/>
    <w:rsid w:val="0052399A"/>
    <w:rsid w:val="00536DAB"/>
    <w:rsid w:val="00550603"/>
    <w:rsid w:val="005675B9"/>
    <w:rsid w:val="00574E5F"/>
    <w:rsid w:val="00577152"/>
    <w:rsid w:val="005862F3"/>
    <w:rsid w:val="005D6C67"/>
    <w:rsid w:val="005E23AA"/>
    <w:rsid w:val="005F2683"/>
    <w:rsid w:val="00615D95"/>
    <w:rsid w:val="0065142E"/>
    <w:rsid w:val="00695FD0"/>
    <w:rsid w:val="006A4DF5"/>
    <w:rsid w:val="006D5C8C"/>
    <w:rsid w:val="006D7D77"/>
    <w:rsid w:val="00704DE0"/>
    <w:rsid w:val="00724DF4"/>
    <w:rsid w:val="00736A26"/>
    <w:rsid w:val="007A5E51"/>
    <w:rsid w:val="007B78CF"/>
    <w:rsid w:val="00835043"/>
    <w:rsid w:val="00844750"/>
    <w:rsid w:val="00853664"/>
    <w:rsid w:val="00855B35"/>
    <w:rsid w:val="00860B13"/>
    <w:rsid w:val="008710E1"/>
    <w:rsid w:val="008B47B3"/>
    <w:rsid w:val="008B5D4D"/>
    <w:rsid w:val="008B7E3D"/>
    <w:rsid w:val="008C39AE"/>
    <w:rsid w:val="00904FD2"/>
    <w:rsid w:val="0091473C"/>
    <w:rsid w:val="0093434E"/>
    <w:rsid w:val="0094769E"/>
    <w:rsid w:val="00963D9A"/>
    <w:rsid w:val="009646DA"/>
    <w:rsid w:val="009A69DE"/>
    <w:rsid w:val="009F20EF"/>
    <w:rsid w:val="009F4671"/>
    <w:rsid w:val="00A252C3"/>
    <w:rsid w:val="00A27CF2"/>
    <w:rsid w:val="00AB0CBF"/>
    <w:rsid w:val="00AE273E"/>
    <w:rsid w:val="00AF66EE"/>
    <w:rsid w:val="00B01810"/>
    <w:rsid w:val="00B0534C"/>
    <w:rsid w:val="00B10FE4"/>
    <w:rsid w:val="00B17BCF"/>
    <w:rsid w:val="00B31E84"/>
    <w:rsid w:val="00B54308"/>
    <w:rsid w:val="00B642FD"/>
    <w:rsid w:val="00B676E4"/>
    <w:rsid w:val="00B77CC9"/>
    <w:rsid w:val="00B844A3"/>
    <w:rsid w:val="00BC68AD"/>
    <w:rsid w:val="00C051DF"/>
    <w:rsid w:val="00C6647D"/>
    <w:rsid w:val="00C96542"/>
    <w:rsid w:val="00D25159"/>
    <w:rsid w:val="00D34595"/>
    <w:rsid w:val="00D54E86"/>
    <w:rsid w:val="00DC46E4"/>
    <w:rsid w:val="00DF3F07"/>
    <w:rsid w:val="00E02042"/>
    <w:rsid w:val="00E24BCB"/>
    <w:rsid w:val="00E4349A"/>
    <w:rsid w:val="00E46E56"/>
    <w:rsid w:val="00E60550"/>
    <w:rsid w:val="00E6272C"/>
    <w:rsid w:val="00EA1DB2"/>
    <w:rsid w:val="00EA3AF2"/>
    <w:rsid w:val="00EB1F46"/>
    <w:rsid w:val="00F1640F"/>
    <w:rsid w:val="00F532A5"/>
    <w:rsid w:val="00F645CA"/>
    <w:rsid w:val="00F76D17"/>
    <w:rsid w:val="00F96B34"/>
    <w:rsid w:val="00FA71A3"/>
    <w:rsid w:val="00FB528A"/>
    <w:rsid w:val="00FB7E9C"/>
    <w:rsid w:val="00FC4CF6"/>
    <w:rsid w:val="00FD2CCB"/>
    <w:rsid w:val="00FD7634"/>
    <w:rsid w:val="00FF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75AE6E"/>
  <w15:docId w15:val="{70166FA8-7163-4CFE-A512-B58F4CEE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0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Nierozpoznanawzmianka1">
    <w:name w:val="Nierozpoznana wzmianka1"/>
    <w:basedOn w:val="Domylnaczcionkaakapitu"/>
    <w:uiPriority w:val="99"/>
    <w:semiHidden/>
    <w:unhideWhenUsed/>
    <w:rsid w:val="005D6C67"/>
    <w:rPr>
      <w:color w:val="605E5C"/>
      <w:shd w:val="clear" w:color="auto" w:fill="E1DFDD"/>
    </w:rPr>
  </w:style>
  <w:style w:type="paragraph" w:styleId="Tekstpodstawowy2">
    <w:name w:val="Body Text 2"/>
    <w:basedOn w:val="Normalny"/>
    <w:link w:val="Tekstpodstawowy2Znak"/>
    <w:rsid w:val="008710E1"/>
    <w:pPr>
      <w:spacing w:after="120" w:line="480" w:lineRule="auto"/>
    </w:pPr>
    <w:rPr>
      <w:sz w:val="20"/>
      <w:szCs w:val="20"/>
    </w:rPr>
  </w:style>
  <w:style w:type="character" w:customStyle="1" w:styleId="Tekstpodstawowy2Znak">
    <w:name w:val="Tekst podstawowy 2 Znak"/>
    <w:basedOn w:val="Domylnaczcionkaakapitu"/>
    <w:link w:val="Tekstpodstawowy2"/>
    <w:rsid w:val="008710E1"/>
    <w:rPr>
      <w:rFonts w:ascii="Times New Roman" w:eastAsia="Times New Roman" w:hAnsi="Times New Roman" w:cs="Times New Roman"/>
      <w:sz w:val="20"/>
      <w:szCs w:val="20"/>
      <w:lang w:eastAsia="pl-PL"/>
    </w:rPr>
  </w:style>
  <w:style w:type="paragraph" w:styleId="Akapitzlist">
    <w:name w:val="List Paragraph"/>
    <w:aliases w:val="CW_Lista,Wypunktowanie,L1,Numerowanie,Akapit z listą BS,sw tekst,normalny tekst,Akapit z listą5,T_SZ_List Paragraph,Akapit normalny,Bullet Number,List Paragraph1,lp1,List Paragraph2,ISCG Numerowanie,lp11,List Paragraph11,Bullet 1"/>
    <w:basedOn w:val="Normalny"/>
    <w:link w:val="AkapitzlistZnak"/>
    <w:uiPriority w:val="34"/>
    <w:qFormat/>
    <w:rsid w:val="003F40EB"/>
    <w:pPr>
      <w:widowControl w:val="0"/>
      <w:suppressAutoHyphens/>
      <w:ind w:left="720"/>
      <w:contextualSpacing/>
    </w:pPr>
    <w:rPr>
      <w:rFonts w:eastAsia="SimSun" w:cs="Mangal"/>
      <w:kern w:val="1"/>
      <w:szCs w:val="21"/>
      <w:lang w:eastAsia="hi-IN" w:bidi="hi-IN"/>
    </w:rPr>
  </w:style>
  <w:style w:type="character" w:customStyle="1" w:styleId="AkapitzlistZnak">
    <w:name w:val="Akapit z listą Znak"/>
    <w:aliases w:val="CW_Lista Znak,Wypunktowanie Znak,L1 Znak,Numerowanie Znak,Akapit z listą BS Znak,sw tekst Znak,normalny tekst Znak,Akapit z listą5 Znak,T_SZ_List Paragraph Znak,Akapit normalny Znak,Bullet Number Znak,List Paragraph1 Znak,lp1 Znak"/>
    <w:link w:val="Akapitzlist"/>
    <w:uiPriority w:val="34"/>
    <w:rsid w:val="003F40EB"/>
    <w:rPr>
      <w:rFonts w:ascii="Times New Roman" w:eastAsia="SimSun" w:hAnsi="Times New Roman" w:cs="Mangal"/>
      <w:kern w:val="1"/>
      <w:sz w:val="24"/>
      <w:szCs w:val="21"/>
      <w:lang w:eastAsia="hi-IN" w:bidi="hi-IN"/>
    </w:rPr>
  </w:style>
  <w:style w:type="character" w:styleId="Nierozpoznanawzmianka">
    <w:name w:val="Unresolved Mention"/>
    <w:basedOn w:val="Domylnaczcionkaakapitu"/>
    <w:uiPriority w:val="99"/>
    <w:semiHidden/>
    <w:unhideWhenUsed/>
    <w:rsid w:val="0065142E"/>
    <w:rPr>
      <w:color w:val="605E5C"/>
      <w:shd w:val="clear" w:color="auto" w:fill="E1DFDD"/>
    </w:rPr>
  </w:style>
  <w:style w:type="paragraph" w:styleId="Tekstprzypisukocowego">
    <w:name w:val="endnote text"/>
    <w:basedOn w:val="Normalny"/>
    <w:link w:val="TekstprzypisukocowegoZnak"/>
    <w:uiPriority w:val="99"/>
    <w:semiHidden/>
    <w:unhideWhenUsed/>
    <w:rsid w:val="00C051DF"/>
    <w:rPr>
      <w:sz w:val="20"/>
      <w:szCs w:val="20"/>
    </w:rPr>
  </w:style>
  <w:style w:type="character" w:customStyle="1" w:styleId="TekstprzypisukocowegoZnak">
    <w:name w:val="Tekst przypisu końcowego Znak"/>
    <w:basedOn w:val="Domylnaczcionkaakapitu"/>
    <w:link w:val="Tekstprzypisukocowego"/>
    <w:uiPriority w:val="99"/>
    <w:semiHidden/>
    <w:rsid w:val="00C051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05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F2AB-28AE-49FB-9346-00D59875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2750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kchgr</dc:creator>
  <cp:lastModifiedBy>Dagmara Żukowska</cp:lastModifiedBy>
  <cp:revision>2</cp:revision>
  <cp:lastPrinted>2022-08-17T08:07:00Z</cp:lastPrinted>
  <dcterms:created xsi:type="dcterms:W3CDTF">2022-08-22T06:00:00Z</dcterms:created>
  <dcterms:modified xsi:type="dcterms:W3CDTF">2022-08-22T06:00:00Z</dcterms:modified>
</cp:coreProperties>
</file>