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Pr="00CC3A53" w:rsidRDefault="0047732A" w:rsidP="00CC3A53">
      <w:pPr>
        <w:spacing w:line="360" w:lineRule="auto"/>
        <w:jc w:val="right"/>
        <w:rPr>
          <w:rFonts w:asciiTheme="minorHAnsi" w:hAnsiTheme="minorHAnsi" w:cstheme="minorHAnsi"/>
        </w:rPr>
      </w:pPr>
      <w:r w:rsidRPr="00CC3A53">
        <w:rPr>
          <w:rFonts w:asciiTheme="minorHAnsi" w:hAnsiTheme="minorHAnsi" w:cstheme="minorHAnsi"/>
        </w:rPr>
        <w:t>Załącznik 1.5</w:t>
      </w:r>
    </w:p>
    <w:p w:rsidR="0047732A" w:rsidRPr="00CC3A53" w:rsidRDefault="0047732A" w:rsidP="00CC3A53">
      <w:pPr>
        <w:pStyle w:val="Nagwek3"/>
        <w:tabs>
          <w:tab w:val="num" w:pos="0"/>
          <w:tab w:val="right" w:leader="dot" w:pos="963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CC3A53">
        <w:rPr>
          <w:rFonts w:asciiTheme="minorHAnsi" w:hAnsiTheme="minorHAnsi" w:cstheme="minorHAnsi"/>
          <w:sz w:val="24"/>
          <w:szCs w:val="24"/>
        </w:rPr>
        <w:t xml:space="preserve">Zadanie 5. Pakiet biurowy </w:t>
      </w:r>
      <w:r w:rsidRPr="00CC3A53">
        <w:rPr>
          <w:rFonts w:asciiTheme="minorHAnsi" w:hAnsiTheme="minorHAnsi" w:cstheme="minorHAnsi"/>
          <w:b w:val="0"/>
          <w:sz w:val="24"/>
          <w:szCs w:val="24"/>
        </w:rPr>
        <w:t>– 2</w:t>
      </w:r>
      <w:r w:rsidR="00DF212B" w:rsidRPr="00CC3A53">
        <w:rPr>
          <w:rFonts w:asciiTheme="minorHAnsi" w:hAnsiTheme="minorHAnsi" w:cstheme="minorHAnsi"/>
          <w:b w:val="0"/>
          <w:sz w:val="24"/>
          <w:szCs w:val="24"/>
        </w:rPr>
        <w:t>7</w:t>
      </w:r>
      <w:r w:rsidRPr="00CC3A53">
        <w:rPr>
          <w:rFonts w:asciiTheme="minorHAnsi" w:hAnsiTheme="minorHAnsi" w:cstheme="minorHAnsi"/>
          <w:b w:val="0"/>
          <w:sz w:val="24"/>
          <w:szCs w:val="24"/>
        </w:rPr>
        <w:t xml:space="preserve"> sztuk</w:t>
      </w:r>
    </w:p>
    <w:p w:rsidR="0047732A" w:rsidRPr="00CC3A53" w:rsidRDefault="0047732A" w:rsidP="00CC3A53">
      <w:pPr>
        <w:tabs>
          <w:tab w:val="right" w:leader="dot" w:pos="9638"/>
        </w:tabs>
        <w:spacing w:line="360" w:lineRule="auto"/>
        <w:ind w:left="1418"/>
        <w:rPr>
          <w:rFonts w:asciiTheme="minorHAnsi" w:hAnsiTheme="minorHAnsi" w:cstheme="minorHAnsi"/>
        </w:rPr>
      </w:pPr>
      <w:r w:rsidRPr="00CC3A53">
        <w:rPr>
          <w:rFonts w:asciiTheme="minorHAnsi" w:hAnsiTheme="minorHAnsi" w:cstheme="minorHAnsi"/>
        </w:rPr>
        <w:t>podać producenta i typ, model</w:t>
      </w:r>
      <w:r w:rsidRPr="00CC3A53">
        <w:rPr>
          <w:rFonts w:asciiTheme="minorHAnsi" w:hAnsiTheme="minorHAnsi" w:cstheme="minorHAnsi"/>
        </w:rPr>
        <w:tab/>
      </w:r>
    </w:p>
    <w:tbl>
      <w:tblPr>
        <w:tblStyle w:val="Tabela-Siatka"/>
        <w:tblW w:w="10349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pakietu biurowego"/>
      </w:tblPr>
      <w:tblGrid>
        <w:gridCol w:w="450"/>
        <w:gridCol w:w="7090"/>
        <w:gridCol w:w="2809"/>
      </w:tblGrid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Nazwa funkcjonalności oraz minimalne wymagania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Parametry oferowane</w:t>
            </w: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  <w:b/>
                <w:bCs/>
              </w:rPr>
              <w:t>Wersja dla instytucji samorządowych</w:t>
            </w:r>
            <w:r w:rsidRPr="00CC3A5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Nagwek3"/>
              <w:spacing w:before="0" w:after="0" w:line="36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C3A53">
              <w:rPr>
                <w:rFonts w:asciiTheme="minorHAnsi" w:hAnsiTheme="minorHAnsi" w:cstheme="minorHAnsi"/>
                <w:sz w:val="24"/>
                <w:szCs w:val="24"/>
              </w:rPr>
              <w:t>Interfejs użytkownika: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pełna polska wersja językowa interfejsu użytkownika,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prostota i intuicyjność obsługi, pozwalająca na pracę osobom nie posiadającym umiejętności technicznych,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Nagwek3"/>
              <w:spacing w:before="0" w:after="0" w:line="360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CC3A53">
              <w:rPr>
                <w:rFonts w:asciiTheme="minorHAnsi" w:hAnsiTheme="minorHAnsi" w:cstheme="minorHAnsi"/>
                <w:sz w:val="24"/>
                <w:szCs w:val="24"/>
              </w:rPr>
              <w:t>Tworzenie i edycja dokumentów elektronicznych w ustalonym formacie, który spełnia następujące warunki: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posiada kompletny i publicznie dostępny opis formatu,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ma zdefiniowany układ informacji w postaci XML zgodnie z Tabelą B1 załącznika 2 Rozporządzenia w sprawie minimalnych wymagań dla systemów teleinformatycznych (Dz.U.05.212.1766),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umożliwia wykorzystanie schematów XML,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wspiera w swojej specyfikacji podpis elektroniczny zgodnie z Tabelą A. 1.1 załącznika 2 Rozporządzenia w sprawie minimalnych wymagań dla systemów teleinformatycznych (Dz.U.05.212.1766),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Oprogramowanie umożliwia dostosowanie dokumentów i szablonów do potrzeb instytucji oraz udostępniać narzędzia umożliwiające dystrybucję odpowiednich szablonów do właściwych odbiorców;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Do aplikacji dostępna jest pełna dokumentacja w języku polskim,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Pakiet zintegrowanych aplikacji biurowych zawiera: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lastRenderedPageBreak/>
              <w:t>Edytor tekstów,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Arkusz kalkulacyjny,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Narzędzie do przygotowywania i prowadzenia prezentacji,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Narzędzie do tworzenia drukowanych materiałów informacyjnych,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Narzędzie do zarządzania informacją prywatną (pocztą elektroniczną kalendarzem, kontaktami i zadaniami),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Narzędzie do tworzenia notatek przy pomocy klawiatury lub notatek odręcznych na ekranie urządzenia typu tablet PC z mechanizmem OCR.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Edytor tekstów umożliwia: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Wstawianie oraz formatowanie tabel,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Wstawianie oraz formatowanie obiektów graficznych,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Wstawianie wykresów i tabel z arkusza kalkulacyjnego (wliczając tabele przestawne),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Automatyczne numerowanie rozdziałów, punktów, akapitów, tabel i rysunków,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Automatyczne tworzenie spisów treści,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Formatowanie nagłówków i stopek stron,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Sprawdzanie pisowni w języku polskim,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Śledzenie zmian wprowadzonych przez użytkowników,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Nagrywanie, tworzenie i edycję makr automatyzujących wykonywanie czynności,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Określenie układu strony (pionowa/pozioma),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Wydruk dokumentów,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Wykonywanie korespondencji seryjnej bazując na danych adresowych pochodzących z arkusza kalkulacyjnego i z narzędzia do zarządzania informacją prywatną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 xml:space="preserve">Pracę na dokumentach utworzonych przy pomocy Microsoft Word 2003 lub Microsoft Word 2007, 2010, 2013, 2016 i 2019 z </w:t>
            </w:r>
            <w:r w:rsidRPr="00CC3A53">
              <w:rPr>
                <w:rFonts w:asciiTheme="minorHAnsi" w:hAnsiTheme="minorHAnsi" w:cstheme="minorHAnsi"/>
                <w:szCs w:val="24"/>
              </w:rPr>
              <w:lastRenderedPageBreak/>
              <w:t>zapewnieniem bezproblemowej konwersji wszystkich elementów i atrybutów dokumentu,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Zabezpieczenie dokumentów hasłem przed odczytem oraz przed wprowadzaniem modyfikacji,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 xml:space="preserve">Wymagana jest dostępność do oferowanego edytora tekstu bezpłatnych narzędzi umożliwiających wykorzystanie </w:t>
            </w:r>
            <w:proofErr w:type="gramStart"/>
            <w:r w:rsidRPr="00CC3A53">
              <w:rPr>
                <w:rFonts w:asciiTheme="minorHAnsi" w:hAnsiTheme="minorHAnsi" w:cstheme="minorHAnsi"/>
                <w:szCs w:val="24"/>
              </w:rPr>
              <w:t>go,</w:t>
            </w:r>
            <w:proofErr w:type="gramEnd"/>
            <w:r w:rsidRPr="00CC3A53">
              <w:rPr>
                <w:rFonts w:asciiTheme="minorHAnsi" w:hAnsiTheme="minorHAnsi" w:cstheme="minorHAnsi"/>
                <w:szCs w:val="24"/>
              </w:rPr>
              <w:t xml:space="preserve"> jako środowiska udostępniającego formularze bazujące na schematach XML z Centralnego Repozytorium Wzorów Dokumentów Elektronicznych, które po wypełnieniu umożliwiają zapisanie pliku XML w zgodzie z obowiązującym prawem,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Wymagana jest dostępność do oferowanego edytora tekstu bezpłatnych narzędzi umożliwiających wykorzystanie go jako środowiska udostępniającego formularze i pozwalające zapisać plik wynikowy w zgodzie z Rozporządzeniem o Aktach Normatywnych i Prawnych.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Arkusz kalkulacyjny umożliwia: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raportów tabelarycznych,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wykresów liniowych (wraz linią trendu), słupkowych, kołowych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CC3A53">
              <w:rPr>
                <w:rFonts w:asciiTheme="minorHAnsi" w:hAnsiTheme="minorHAnsi" w:cstheme="minorHAnsi"/>
                <w:szCs w:val="24"/>
              </w:rPr>
              <w:t>webservice</w:t>
            </w:r>
            <w:proofErr w:type="spellEnd"/>
            <w:r w:rsidRPr="00CC3A53">
              <w:rPr>
                <w:rFonts w:asciiTheme="minorHAnsi" w:hAnsiTheme="minorHAnsi" w:cstheme="minorHAnsi"/>
                <w:szCs w:val="24"/>
              </w:rPr>
              <w:t>)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 xml:space="preserve">Obsługę kostek OLAP oraz tworzenie i edycję kwerend bazodanowych i webowych. Narzędzia wspomagające analizę </w:t>
            </w:r>
            <w:r w:rsidRPr="00CC3A53">
              <w:rPr>
                <w:rFonts w:asciiTheme="minorHAnsi" w:hAnsiTheme="minorHAnsi" w:cstheme="minorHAnsi"/>
                <w:szCs w:val="24"/>
              </w:rPr>
              <w:lastRenderedPageBreak/>
              <w:t>statystyczną i finansową analizę wariantową i rozwiązywanie problemów optymalizacyjnych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raportów tabeli przestawnych umożliwiających dynamiczną zmianę wymiarów oraz wykresów bazujących na danych z tabeli przestawnych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Wyszukiwanie i zamianę danych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Wykonywanie analiz danych przy użyciu formatowania warunkowego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Nazywanie komórek arkusza i odwoływanie się w formułach po takiej nazwie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Nagrywanie, tworzenie i edycję makr automatyzujących wykonywanie czynność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Formatowanie czasu, daty i wartości finansowych z polskim formatem I. Zapis wielu arkuszy kalkulacyjnych w jednym pliku.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Zachowanie pełnej zgodności z formatami plików utworzonych za pomocą oprogramowania Microsoft Excel 2003 oraz Microsoft Excel 2007, 2010, 2013, 2016 i 2019, z uwzględnieniem poprawnej realizacji użytych w nich funkcji specjalnych i makropoleceń.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Zabezpieczenie dokumentów hasłem przed odczytem oraz przed wprowadzaniem modyfikacji.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Narzędzie do przygotowywania i prowadzenia prezentacji umożliwia: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Prezentowanie przy użyciu projektora multimedialnego,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Drukowanie w formacie umożliwiającym robienie notatek,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Zapisanie jako prezentacja tylko do odczytu,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Nagrywanie narracji i dołączanie jej do prezentacji,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Opatrywanie slajdów notatkami dla prezentera,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Umieszczanie i formatowanie tekstów, obiektów graficznych, tabel, nagrań dźwiękowych i wideo,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Umieszczanie tabel i wykresów pochodzących z arkusza kalkulacyjnego,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Odświeżenie wykresu znajdującego się w prezentacji po zmianie danych w źródłowym arkuszu kalkulacyjnym,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Możliwość tworzenia animacji obiektów i całych slajdów,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lastRenderedPageBreak/>
              <w:t>Prowadzenie prezentacji w trybie prezentera, gdzie slajdy są widoczne na jednym, monitorze lub projektorze, a na drugim widoczne są slajdy i notatki prezentera,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Pełna zgodność z formatami plików utworzonych za pomocą oprogramowania MS PowerPoint 2003, MS PowerPoint 2007, 2010, 2013, 2016 i 2019.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Narzędzie do tworzenia drukowanych materiałów informacyjnych musi umożliwiać: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i edycję drukowanych materiałów informacyjnych,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materiałów przy użyciu dostępnych z narzędziem szablonów: broszur, biuletynów, katalogów,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Edycję poszczególnych stron materiałów,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Podział treści na kolumny,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Umieszczanie elementów graficznych, wykorzystanie mechanizmu korespondencji seryjnej,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Płynne przesuwanie elementów po całej stronie publikacji,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Eksport publikacji do formatu PDF oraz TIFF,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Wydruk publikacji,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Możliwość przygotowywania materiałów do wydruku w standardzie CMYK.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Narzędzie do zarządzania informacją prywatną (pocztą elektroniczną kalendarzem, kontaktami i zadaniami) umożliwia: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Pobieranie i wysyłanie poczty elektronicznej z serwera pocztowego,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Filtrowanie niechcianej poczty elektronicznej (SPAM) oraz określanie listy zablokowanych i bezpiecznych nadawców,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katalogów, pozwalających katalogować pocztę elektroniczną,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Automatyczne grupowanie poczty o tym samym tytule,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Oflagowanie poczty elektronicznej z określeniem terminu przypomnienia,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lastRenderedPageBreak/>
              <w:t>Zarządzanie kalendarzem,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Udostępnianie Kalendarza innym użytkownikom,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Przeglądanie kalendarza innych użytkowników,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Zapraszanie uczestników na spotkanie, co po ich akceptacji powoduje automatyczne wprowadzenie spotkania w ich kalendarzach,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Zarządzanie listą zadań,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Zlecanie zadań innym użytkownikom,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Zarządzanie listą kontaktów,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Udostępnianie listy kontaktów innym użytkownikom, przeglądanie listy kontaktów innych użytkowników,</w:t>
            </w:r>
          </w:p>
          <w:p w:rsidR="0047732A" w:rsidRPr="00CC3A53" w:rsidRDefault="0047732A" w:rsidP="00CC3A53">
            <w:pPr>
              <w:pStyle w:val="Akapitzlist"/>
              <w:numPr>
                <w:ilvl w:val="0"/>
                <w:numId w:val="1"/>
              </w:numPr>
              <w:tabs>
                <w:tab w:val="left" w:pos="4590"/>
              </w:tabs>
              <w:spacing w:line="360" w:lineRule="auto"/>
              <w:ind w:left="272" w:hanging="218"/>
              <w:rPr>
                <w:rFonts w:asciiTheme="minorHAnsi" w:hAnsiTheme="minorHAnsi" w:cstheme="minorHAnsi"/>
                <w:szCs w:val="24"/>
              </w:rPr>
            </w:pPr>
            <w:r w:rsidRPr="00CC3A53">
              <w:rPr>
                <w:rFonts w:asciiTheme="minorHAnsi" w:hAnsiTheme="minorHAnsi" w:cstheme="minorHAnsi"/>
                <w:szCs w:val="24"/>
              </w:rPr>
              <w:t>Możliwość przesyłania kontaktów innym użytkowników.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7732A" w:rsidRPr="00CC3A53" w:rsidTr="00DF212B">
        <w:tc>
          <w:tcPr>
            <w:tcW w:w="45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090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tabs>
                <w:tab w:val="left" w:pos="459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C3A53">
              <w:rPr>
                <w:rFonts w:asciiTheme="minorHAnsi" w:eastAsiaTheme="majorEastAsia" w:hAnsiTheme="minorHAnsi" w:cstheme="minorHAnsi"/>
                <w:b/>
                <w:bCs/>
              </w:rPr>
              <w:t>licencja z jednym kluczem aktywacyjnym dla wszystkich stanowisk udostępniana elektronicznie za pośrednictwem portalu producenta, z którego po zalogowaniu umożliwi wielokrotne jego pobranie w dowolnym czasie.</w:t>
            </w:r>
          </w:p>
        </w:tc>
        <w:tc>
          <w:tcPr>
            <w:tcW w:w="2809" w:type="dxa"/>
            <w:tcMar>
              <w:left w:w="57" w:type="dxa"/>
              <w:right w:w="57" w:type="dxa"/>
            </w:tcMar>
          </w:tcPr>
          <w:p w:rsidR="0047732A" w:rsidRPr="00CC3A53" w:rsidRDefault="0047732A" w:rsidP="00CC3A5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C3A53" w:rsidRPr="00C03CDA" w:rsidRDefault="00CC3A53" w:rsidP="00CC3A53">
      <w:pPr>
        <w:pStyle w:val="Akapitzlist"/>
        <w:tabs>
          <w:tab w:val="right" w:leader="dot" w:pos="2835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 xml:space="preserve">miejscowość, dnia: </w:t>
      </w:r>
      <w:r w:rsidRPr="00C03CDA">
        <w:rPr>
          <w:rFonts w:asciiTheme="minorHAnsi" w:hAnsiTheme="minorHAnsi" w:cstheme="minorHAnsi"/>
          <w:szCs w:val="24"/>
        </w:rPr>
        <w:tab/>
      </w:r>
      <w:r w:rsidRPr="00C03CDA">
        <w:rPr>
          <w:rFonts w:asciiTheme="minorHAnsi" w:hAnsiTheme="minorHAnsi" w:cstheme="minorHAnsi"/>
          <w:szCs w:val="24"/>
        </w:rPr>
        <w:tab/>
      </w:r>
    </w:p>
    <w:p w:rsidR="00CC3A53" w:rsidRPr="00C03CDA" w:rsidRDefault="00CC3A53" w:rsidP="00CC3A5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ab/>
        <w:t xml:space="preserve"> </w:t>
      </w:r>
    </w:p>
    <w:p w:rsidR="00CC3A53" w:rsidRPr="00C03CDA" w:rsidRDefault="00CC3A53" w:rsidP="00CC3A53">
      <w:pPr>
        <w:pStyle w:val="Akapitzlist"/>
        <w:tabs>
          <w:tab w:val="center" w:leader="dot" w:pos="2835"/>
        </w:tabs>
        <w:spacing w:line="360" w:lineRule="auto"/>
        <w:ind w:left="360"/>
        <w:jc w:val="right"/>
        <w:rPr>
          <w:rFonts w:asciiTheme="minorHAnsi" w:hAnsiTheme="minorHAnsi" w:cstheme="minorHAnsi"/>
          <w:szCs w:val="24"/>
        </w:rPr>
      </w:pPr>
      <w:r w:rsidRPr="00C03CDA">
        <w:rPr>
          <w:rFonts w:asciiTheme="minorHAnsi" w:hAnsiTheme="minorHAnsi" w:cstheme="minorHAnsi"/>
          <w:szCs w:val="24"/>
        </w:rPr>
        <w:t>(podpis i pieczęć osoby uprawnionej do reprezentacji)</w:t>
      </w:r>
    </w:p>
    <w:p w:rsidR="0047732A" w:rsidRPr="00CC3A53" w:rsidRDefault="0047732A" w:rsidP="00CC3A53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47732A" w:rsidRPr="00CC3A53" w:rsidSect="0093763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1E" w:rsidRDefault="00DD771E" w:rsidP="00DF212B">
      <w:r>
        <w:separator/>
      </w:r>
    </w:p>
  </w:endnote>
  <w:endnote w:type="continuationSeparator" w:id="0">
    <w:p w:rsidR="00DD771E" w:rsidRDefault="00DD771E" w:rsidP="00DF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98904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212B" w:rsidRPr="00DF212B" w:rsidRDefault="00DF212B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DF212B">
              <w:rPr>
                <w:rFonts w:asciiTheme="minorHAnsi" w:hAnsiTheme="minorHAnsi" w:cstheme="minorHAnsi"/>
              </w:rPr>
              <w:t xml:space="preserve">Strona </w: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DF212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DF212B">
              <w:rPr>
                <w:rFonts w:asciiTheme="minorHAnsi" w:hAnsiTheme="minorHAnsi" w:cstheme="minorHAnsi"/>
                <w:b/>
                <w:bCs/>
              </w:rPr>
              <w:t>2</w: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DF212B">
              <w:rPr>
                <w:rFonts w:asciiTheme="minorHAnsi" w:hAnsiTheme="minorHAnsi" w:cstheme="minorHAnsi"/>
              </w:rPr>
              <w:t xml:space="preserve"> z </w: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DF212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DF212B">
              <w:rPr>
                <w:rFonts w:asciiTheme="minorHAnsi" w:hAnsiTheme="minorHAnsi" w:cstheme="minorHAnsi"/>
                <w:b/>
                <w:bCs/>
              </w:rPr>
              <w:t>2</w:t>
            </w:r>
            <w:r w:rsidRPr="00DF212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F212B" w:rsidRDefault="00DF2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1E" w:rsidRDefault="00DD771E" w:rsidP="00DF212B">
      <w:r>
        <w:separator/>
      </w:r>
    </w:p>
  </w:footnote>
  <w:footnote w:type="continuationSeparator" w:id="0">
    <w:p w:rsidR="00DD771E" w:rsidRDefault="00DD771E" w:rsidP="00DF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2A"/>
    <w:rsid w:val="003C67E1"/>
    <w:rsid w:val="0047732A"/>
    <w:rsid w:val="00626FB8"/>
    <w:rsid w:val="00683AED"/>
    <w:rsid w:val="008E1251"/>
    <w:rsid w:val="00937636"/>
    <w:rsid w:val="00A160C8"/>
    <w:rsid w:val="00CC3A53"/>
    <w:rsid w:val="00DD771E"/>
    <w:rsid w:val="00DF212B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62209-E047-4CC8-BA55-889E8DD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32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3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732A"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paragraph" w:customStyle="1" w:styleId="Zawartotabeli">
    <w:name w:val="Zawartość tabeli"/>
    <w:basedOn w:val="Normalny"/>
    <w:rsid w:val="0047732A"/>
    <w:pPr>
      <w:suppressLineNumbers/>
    </w:pPr>
  </w:style>
  <w:style w:type="paragraph" w:styleId="Akapitzlist">
    <w:name w:val="List Paragraph"/>
    <w:basedOn w:val="Normalny"/>
    <w:uiPriority w:val="34"/>
    <w:qFormat/>
    <w:rsid w:val="0047732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47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21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212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21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212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dcterms:created xsi:type="dcterms:W3CDTF">2021-04-20T08:56:00Z</dcterms:created>
  <dcterms:modified xsi:type="dcterms:W3CDTF">2021-04-20T09:12:00Z</dcterms:modified>
</cp:coreProperties>
</file>