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DB68" w14:textId="77777777" w:rsidR="00D265CC" w:rsidRPr="00B1646B" w:rsidRDefault="00D265CC" w:rsidP="00D265C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B1646B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08</w:t>
      </w:r>
      <w:r w:rsidRPr="00B1646B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B1646B">
        <w:rPr>
          <w:rFonts w:ascii="Arial" w:hAnsi="Arial" w:cs="Arial"/>
          <w:sz w:val="22"/>
          <w:szCs w:val="22"/>
        </w:rPr>
        <w:t>.2022r.</w:t>
      </w:r>
    </w:p>
    <w:p w14:paraId="1F831327" w14:textId="77777777" w:rsidR="00D265CC" w:rsidRPr="00B1646B" w:rsidRDefault="00D265CC" w:rsidP="00D265CC">
      <w:pPr>
        <w:jc w:val="both"/>
        <w:rPr>
          <w:rFonts w:ascii="Arial" w:hAnsi="Arial" w:cs="Arial"/>
          <w:sz w:val="22"/>
          <w:szCs w:val="22"/>
        </w:rPr>
      </w:pPr>
    </w:p>
    <w:p w14:paraId="02828814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AB10A0" w14:textId="0DCEB42E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>EA/PW/NI/0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="000A31DB">
        <w:rPr>
          <w:rFonts w:ascii="Arial" w:hAnsi="Arial" w:cs="Arial"/>
          <w:color w:val="000000"/>
          <w:sz w:val="22"/>
          <w:szCs w:val="22"/>
        </w:rPr>
        <w:t>6</w:t>
      </w:r>
      <w:r w:rsidR="007F420A">
        <w:rPr>
          <w:rFonts w:ascii="Arial" w:hAnsi="Arial" w:cs="Arial"/>
          <w:color w:val="000000"/>
          <w:sz w:val="22"/>
          <w:szCs w:val="22"/>
        </w:rPr>
        <w:t>4</w:t>
      </w:r>
      <w:r w:rsidRPr="00B1646B">
        <w:rPr>
          <w:rFonts w:ascii="Arial" w:hAnsi="Arial" w:cs="Arial"/>
          <w:color w:val="000000"/>
          <w:sz w:val="22"/>
          <w:szCs w:val="22"/>
        </w:rPr>
        <w:t>/1</w:t>
      </w:r>
      <w:r>
        <w:rPr>
          <w:rFonts w:ascii="Arial" w:hAnsi="Arial" w:cs="Arial"/>
          <w:color w:val="000000"/>
          <w:sz w:val="22"/>
          <w:szCs w:val="22"/>
        </w:rPr>
        <w:t>51</w:t>
      </w:r>
      <w:r w:rsidRPr="00B1646B">
        <w:rPr>
          <w:rFonts w:ascii="Arial" w:hAnsi="Arial" w:cs="Arial"/>
          <w:color w:val="000000"/>
          <w:sz w:val="22"/>
          <w:szCs w:val="22"/>
        </w:rPr>
        <w:t>/2022/</w:t>
      </w:r>
      <w:proofErr w:type="spellStart"/>
      <w:r w:rsidRPr="00B1646B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1A9AE29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8B11D1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375E3C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646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E26FF6F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2224C8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5DE9F661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39DCC63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B6FA6A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B15F25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9BCF7A" w14:textId="35B7EEA8" w:rsidR="00D265CC" w:rsidRPr="00B1646B" w:rsidRDefault="00D265CC" w:rsidP="00D265CC">
      <w:pPr>
        <w:jc w:val="both"/>
        <w:rPr>
          <w:rFonts w:ascii="Arial" w:hAnsi="Arial" w:cs="Arial"/>
          <w:sz w:val="22"/>
          <w:szCs w:val="22"/>
        </w:rPr>
      </w:pPr>
      <w:r w:rsidRPr="00B1646B">
        <w:rPr>
          <w:rFonts w:ascii="Arial" w:hAnsi="Arial" w:cs="Arial"/>
          <w:sz w:val="22"/>
          <w:szCs w:val="22"/>
        </w:rPr>
        <w:t xml:space="preserve">Dotyczy: postępowania prowadzonego </w:t>
      </w:r>
      <w:r w:rsidRPr="00B1646B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1646B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1646B">
        <w:rPr>
          <w:rFonts w:ascii="Arial" w:hAnsi="Arial" w:cs="Arial"/>
          <w:color w:val="000000"/>
          <w:sz w:val="22"/>
          <w:szCs w:val="22"/>
        </w:rPr>
        <w:t>pn.: </w:t>
      </w:r>
      <w:r w:rsidRPr="00B1646B">
        <w:rPr>
          <w:rFonts w:ascii="Arial" w:hAnsi="Arial" w:cs="Arial"/>
          <w:b/>
          <w:bCs/>
          <w:sz w:val="22"/>
          <w:szCs w:val="22"/>
        </w:rPr>
        <w:t>„</w:t>
      </w:r>
      <w:bookmarkStart w:id="1" w:name="_Hlk67920460"/>
      <w:r w:rsidRPr="008267E4">
        <w:rPr>
          <w:rFonts w:ascii="Arial" w:hAnsi="Arial" w:cs="Arial"/>
          <w:b/>
          <w:sz w:val="22"/>
          <w:szCs w:val="22"/>
        </w:rPr>
        <w:t xml:space="preserve">Zakup wraz z dostawą </w:t>
      </w:r>
      <w:bookmarkEnd w:id="1"/>
      <w:r w:rsidRPr="008267E4">
        <w:rPr>
          <w:rFonts w:ascii="Arial" w:hAnsi="Arial" w:cs="Arial"/>
          <w:b/>
          <w:sz w:val="22"/>
          <w:szCs w:val="22"/>
        </w:rPr>
        <w:t xml:space="preserve">motoreduktorów oraz części zamiennych do urządzeń </w:t>
      </w:r>
      <w:proofErr w:type="spellStart"/>
      <w:r w:rsidRPr="008267E4">
        <w:rPr>
          <w:rFonts w:ascii="Arial" w:hAnsi="Arial" w:cs="Arial"/>
          <w:b/>
          <w:sz w:val="22"/>
          <w:szCs w:val="22"/>
        </w:rPr>
        <w:t>Seepex</w:t>
      </w:r>
      <w:proofErr w:type="spellEnd"/>
      <w:r w:rsidRPr="00B1646B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0736EA2" w14:textId="77777777" w:rsidR="00D265CC" w:rsidRPr="00B1646B" w:rsidRDefault="00D265CC" w:rsidP="00D265CC">
      <w:pPr>
        <w:jc w:val="both"/>
        <w:rPr>
          <w:rFonts w:ascii="Arial" w:hAnsi="Arial" w:cs="Arial"/>
          <w:sz w:val="22"/>
          <w:szCs w:val="22"/>
        </w:rPr>
      </w:pPr>
    </w:p>
    <w:p w14:paraId="47682B98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5D51E5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1B7257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FE5DA2" w14:textId="6FD83E84" w:rsidR="00D265CC" w:rsidRPr="00B1646B" w:rsidRDefault="00D265CC" w:rsidP="00D265C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 xml:space="preserve">Zgodnie z zapisem pkt. 15.3. specyfikacji istotnych warunków zamówienia, Zamawiający informuje, iż na realizację zadania </w:t>
      </w:r>
      <w:r w:rsidRPr="00B1646B">
        <w:rPr>
          <w:rFonts w:ascii="Arial" w:hAnsi="Arial" w:cs="Arial"/>
          <w:sz w:val="22"/>
          <w:szCs w:val="22"/>
        </w:rPr>
        <w:t xml:space="preserve">pn.: </w:t>
      </w:r>
      <w:r w:rsidRPr="00B1646B">
        <w:rPr>
          <w:rFonts w:ascii="Arial" w:hAnsi="Arial" w:cs="Arial"/>
          <w:b/>
          <w:bCs/>
          <w:sz w:val="22"/>
          <w:szCs w:val="22"/>
        </w:rPr>
        <w:t>„</w:t>
      </w:r>
      <w:r w:rsidR="00EE6133" w:rsidRPr="008267E4">
        <w:rPr>
          <w:rFonts w:ascii="Arial" w:hAnsi="Arial" w:cs="Arial"/>
          <w:b/>
          <w:sz w:val="22"/>
          <w:szCs w:val="22"/>
        </w:rPr>
        <w:t xml:space="preserve">Zakup wraz z dostawą motoreduktorów oraz części zamiennych do urządzeń </w:t>
      </w:r>
      <w:proofErr w:type="spellStart"/>
      <w:r w:rsidR="00EE6133" w:rsidRPr="008267E4">
        <w:rPr>
          <w:rFonts w:ascii="Arial" w:hAnsi="Arial" w:cs="Arial"/>
          <w:b/>
          <w:sz w:val="22"/>
          <w:szCs w:val="22"/>
        </w:rPr>
        <w:t>Seepex</w:t>
      </w:r>
      <w:proofErr w:type="spellEnd"/>
      <w:r w:rsidRPr="00B1646B">
        <w:rPr>
          <w:rFonts w:ascii="Arial" w:hAnsi="Arial" w:cs="Arial"/>
          <w:b/>
          <w:bCs/>
          <w:sz w:val="22"/>
          <w:szCs w:val="22"/>
        </w:rPr>
        <w:t>”</w:t>
      </w:r>
      <w:r w:rsidRPr="00B1646B">
        <w:rPr>
          <w:rFonts w:ascii="Arial" w:hAnsi="Arial" w:cs="Arial"/>
          <w:sz w:val="22"/>
          <w:szCs w:val="22"/>
        </w:rPr>
        <w:t xml:space="preserve">, </w:t>
      </w:r>
      <w:r w:rsidRPr="00B1646B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EE6133">
        <w:rPr>
          <w:rFonts w:ascii="Arial" w:hAnsi="Arial" w:cs="Arial"/>
          <w:color w:val="000000"/>
          <w:sz w:val="22"/>
          <w:szCs w:val="22"/>
        </w:rPr>
        <w:t> </w:t>
      </w:r>
      <w:r w:rsidRPr="00B1646B">
        <w:rPr>
          <w:rFonts w:ascii="Arial" w:hAnsi="Arial" w:cs="Arial"/>
          <w:color w:val="000000"/>
          <w:sz w:val="22"/>
          <w:szCs w:val="22"/>
        </w:rPr>
        <w:t xml:space="preserve">wysokości </w:t>
      </w:r>
      <w:r>
        <w:rPr>
          <w:rFonts w:ascii="Arial" w:hAnsi="Arial" w:cs="Arial"/>
          <w:color w:val="000000"/>
          <w:sz w:val="22"/>
          <w:szCs w:val="22"/>
        </w:rPr>
        <w:t>29 500</w:t>
      </w:r>
      <w:r w:rsidRPr="00B1646B">
        <w:rPr>
          <w:rFonts w:ascii="Arial" w:hAnsi="Arial" w:cs="Arial"/>
          <w:color w:val="000000"/>
          <w:sz w:val="22"/>
          <w:szCs w:val="22"/>
        </w:rPr>
        <w:t>,00 zł brutto.</w:t>
      </w:r>
    </w:p>
    <w:p w14:paraId="4D5ADB27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31965610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F70770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8944CB8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C5019C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27F955C3" w14:textId="77777777" w:rsidR="00D265CC" w:rsidRDefault="00D265CC" w:rsidP="00D265C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235BE080" w14:textId="77777777" w:rsidR="00D265CC" w:rsidRPr="00A8763A" w:rsidRDefault="00D265CC" w:rsidP="00D265C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16C04CF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A56727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1172BA18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959E349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8716D0C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2710CDA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606B01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99EDC6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2E79DE57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14538CA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448468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3C66AA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2DF7738C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9188FA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E4B288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45E5B04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2D6AD7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C5D7E02" w14:textId="77777777" w:rsidR="00081169" w:rsidRDefault="00081169"/>
    <w:sectPr w:rsidR="0008116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2EFF" w14:textId="77777777" w:rsidR="00D265CC" w:rsidRDefault="00D265CC" w:rsidP="00D265CC">
      <w:r>
        <w:separator/>
      </w:r>
    </w:p>
  </w:endnote>
  <w:endnote w:type="continuationSeparator" w:id="0">
    <w:p w14:paraId="2B99007B" w14:textId="77777777" w:rsidR="00D265CC" w:rsidRDefault="00D265CC" w:rsidP="00D2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5BD09D04" w14:textId="63C4F6B9" w:rsidR="00F31667" w:rsidRPr="00D265CC" w:rsidRDefault="000A31DB" w:rsidP="00B55C4A">
        <w:pPr>
          <w:pStyle w:val="Stopka"/>
          <w:rPr>
            <w:rFonts w:cs="Arial"/>
            <w:sz w:val="12"/>
            <w:szCs w:val="12"/>
          </w:rPr>
        </w:pP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3CB474A0" wp14:editId="71EAE1C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E7E56C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AE4B6AE" wp14:editId="1341295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535BC5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5DB0F26" wp14:editId="7FE0EEE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214F0C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71CE0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733A2CC5" wp14:editId="19D47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BF2A94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D265CC" w:rsidRPr="00D265CC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612860335"/>
            <w:docPartObj>
              <w:docPartGallery w:val="Page Numbers (Bottom of Page)"/>
              <w:docPartUnique/>
            </w:docPartObj>
          </w:sdtPr>
          <w:sdtEndPr/>
          <w:sdtContent>
            <w:r w:rsidR="00D265CC"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552E6" wp14:editId="73EA12A0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9B571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265CC" w:rsidRPr="00364C6A">
              <w:rPr>
                <w:sz w:val="12"/>
                <w:szCs w:val="12"/>
              </w:rPr>
              <w:t xml:space="preserve"> </w:t>
            </w:r>
            <w:sdt>
              <w:sdtPr>
                <w:rPr>
                  <w:sz w:val="12"/>
                  <w:szCs w:val="12"/>
                </w:rPr>
                <w:id w:val="-1582055367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D265CC" w:rsidRPr="00364C6A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Znak sprawy :  23/2022                                                            </w:t>
                </w:r>
                <w:r w:rsidR="00D265CC" w:rsidRPr="00364C6A">
                  <w:rPr>
                    <w:rFonts w:ascii="Arial" w:hAnsi="Arial" w:cs="Arial"/>
                    <w:sz w:val="12"/>
                    <w:szCs w:val="12"/>
                  </w:rPr>
                  <w:t xml:space="preserve">Zakup wraz z dostawą motoreduktorów oraz części zamiennych do urządzeń </w:t>
                </w:r>
                <w:proofErr w:type="spellStart"/>
                <w:r w:rsidR="00D265CC" w:rsidRPr="00364C6A">
                  <w:rPr>
                    <w:rFonts w:ascii="Arial" w:hAnsi="Arial" w:cs="Arial"/>
                    <w:sz w:val="12"/>
                    <w:szCs w:val="12"/>
                  </w:rPr>
                  <w:t>Seepex</w:t>
                </w:r>
                <w:proofErr w:type="spellEnd"/>
                <w:r w:rsidR="00D265CC" w:rsidRPr="00364C6A">
                  <w:rPr>
                    <w:rFonts w:ascii="Arial" w:hAnsi="Arial" w:cs="Arial"/>
                    <w:sz w:val="12"/>
                    <w:szCs w:val="12"/>
                  </w:rPr>
                  <w:t xml:space="preserve">   (R/15/2022/TK)     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3EE3" w14:textId="77777777" w:rsidR="00D265CC" w:rsidRDefault="00D265CC" w:rsidP="00D265CC">
      <w:r>
        <w:separator/>
      </w:r>
    </w:p>
  </w:footnote>
  <w:footnote w:type="continuationSeparator" w:id="0">
    <w:p w14:paraId="20A02C98" w14:textId="77777777" w:rsidR="00D265CC" w:rsidRDefault="00D265CC" w:rsidP="00D2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59A8" w14:textId="77777777" w:rsidR="00C03D02" w:rsidRPr="00AE6EB4" w:rsidRDefault="000A31DB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D760743" wp14:editId="2401624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F43DC0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3F1BFAD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5309EA" w14:textId="77777777" w:rsidR="00C03D02" w:rsidRPr="00AE6EB4" w:rsidRDefault="00EE613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48B04D71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E97D692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20F75CF" w14:textId="77777777" w:rsidR="00C03D02" w:rsidRPr="003B58EC" w:rsidRDefault="000A31DB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49FA0" wp14:editId="6C0CA8C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116E9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CC"/>
    <w:rsid w:val="00081169"/>
    <w:rsid w:val="000A31DB"/>
    <w:rsid w:val="007F420A"/>
    <w:rsid w:val="00C440FE"/>
    <w:rsid w:val="00D265CC"/>
    <w:rsid w:val="00E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ACEE"/>
  <w15:chartTrackingRefBased/>
  <w15:docId w15:val="{47921C71-50D7-41BF-8D82-D2865D3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6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5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2022-07-08T05:10:00Z</dcterms:created>
  <dcterms:modified xsi:type="dcterms:W3CDTF">2022-07-08T06:25:00Z</dcterms:modified>
</cp:coreProperties>
</file>