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AAE0" w14:textId="00BC44BF" w:rsidR="008612B5" w:rsidRPr="00547EA5" w:rsidRDefault="00341BE2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547EA5">
        <w:rPr>
          <w:rFonts w:ascii="Arial" w:hAnsi="Arial" w:cs="Arial"/>
          <w:b/>
          <w:bCs/>
        </w:rPr>
        <w:t xml:space="preserve">DZ.371.UE.1.2021                                                                    </w:t>
      </w:r>
      <w:r w:rsidR="00DE6B5F" w:rsidRPr="00547EA5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547EA5">
        <w:rPr>
          <w:rFonts w:ascii="Arial" w:eastAsia="Times New Roman" w:hAnsi="Arial" w:cs="Arial"/>
          <w:b/>
          <w:lang w:eastAsia="pl-PL"/>
        </w:rPr>
        <w:t xml:space="preserve">Lublin, dnia </w:t>
      </w:r>
      <w:r w:rsidR="00071A7D">
        <w:rPr>
          <w:rFonts w:ascii="Arial" w:eastAsia="Times New Roman" w:hAnsi="Arial" w:cs="Arial"/>
          <w:b/>
          <w:lang w:eastAsia="pl-PL"/>
        </w:rPr>
        <w:t xml:space="preserve">16 </w:t>
      </w:r>
      <w:bookmarkStart w:id="0" w:name="_GoBack"/>
      <w:bookmarkEnd w:id="0"/>
      <w:r w:rsidRPr="00547EA5">
        <w:rPr>
          <w:rFonts w:ascii="Arial" w:eastAsia="Times New Roman" w:hAnsi="Arial" w:cs="Arial"/>
          <w:b/>
          <w:lang w:eastAsia="pl-PL"/>
        </w:rPr>
        <w:t>czerwca</w:t>
      </w:r>
      <w:r w:rsidR="00844532" w:rsidRPr="00547EA5">
        <w:rPr>
          <w:rFonts w:ascii="Arial" w:eastAsia="Times New Roman" w:hAnsi="Arial" w:cs="Arial"/>
          <w:b/>
          <w:lang w:eastAsia="pl-PL"/>
        </w:rPr>
        <w:t xml:space="preserve"> 2021</w:t>
      </w:r>
      <w:r w:rsidR="008612B5" w:rsidRPr="00547EA5">
        <w:rPr>
          <w:rFonts w:ascii="Arial" w:eastAsia="Times New Roman" w:hAnsi="Arial" w:cs="Arial"/>
          <w:b/>
          <w:lang w:eastAsia="pl-PL"/>
        </w:rPr>
        <w:t xml:space="preserve"> r.</w:t>
      </w:r>
    </w:p>
    <w:p w14:paraId="72303EE5" w14:textId="77777777" w:rsidR="008612B5" w:rsidRPr="00547EA5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FE9CA22" w14:textId="77777777" w:rsidR="008612B5" w:rsidRPr="00547EA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06FC4668" w14:textId="77777777" w:rsidR="00C849E5" w:rsidRPr="00547EA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1725C545" w14:textId="77777777" w:rsidR="00C849E5" w:rsidRPr="00547EA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0DB878" w14:textId="77777777" w:rsidR="00C849E5" w:rsidRPr="00547EA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6A833F" w14:textId="644314DB" w:rsidR="008612B5" w:rsidRPr="00547EA5" w:rsidRDefault="008612B5" w:rsidP="00341BE2">
      <w:pPr>
        <w:jc w:val="both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547EA5">
        <w:rPr>
          <w:rFonts w:ascii="Arial" w:hAnsi="Arial" w:cs="Arial"/>
        </w:rPr>
        <w:t>Dotyczy: Przetargu nieograniczonego na dostawę pod</w:t>
      </w:r>
      <w:r w:rsidR="00A702BE" w:rsidRPr="00547EA5">
        <w:rPr>
          <w:rFonts w:ascii="Arial" w:hAnsi="Arial" w:cs="Arial"/>
        </w:rPr>
        <w:t xml:space="preserve"> nazwą</w:t>
      </w:r>
      <w:bookmarkStart w:id="1" w:name="_Hlk41303780"/>
      <w:r w:rsidR="00645748" w:rsidRPr="00547EA5">
        <w:rPr>
          <w:rFonts w:ascii="Arial" w:hAnsi="Arial" w:cs="Arial"/>
          <w:b/>
          <w:bCs/>
        </w:rPr>
        <w:t xml:space="preserve"> </w:t>
      </w:r>
      <w:bookmarkEnd w:id="1"/>
      <w:r w:rsidR="00341BE2" w:rsidRPr="00547EA5">
        <w:rPr>
          <w:rFonts w:ascii="Arial" w:eastAsia="Lucida Sans Unicode" w:hAnsi="Arial" w:cs="Arial"/>
          <w:b/>
          <w:bCs/>
          <w:kern w:val="3"/>
          <w:lang w:eastAsia="pl-PL"/>
        </w:rPr>
        <w:t>„Dostawa i wdrożenie  sieciowych urządzeń typu Firewall do zabezpieczenia sieci teleinformatycznej na potrzeby systemu biletu elektronicznego komunikacji aglomeracyjnej</w:t>
      </w:r>
      <w:r w:rsidR="00844532" w:rsidRPr="00547EA5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547EA5">
        <w:rPr>
          <w:rFonts w:ascii="Arial" w:hAnsi="Arial" w:cs="Arial"/>
          <w:bCs/>
        </w:rPr>
        <w:t>(Nr ogłoszenia o zamówieniu opublikowanego</w:t>
      </w:r>
      <w:r w:rsidR="00086663" w:rsidRPr="00547EA5">
        <w:rPr>
          <w:rFonts w:ascii="Arial" w:hAnsi="Arial" w:cs="Arial"/>
          <w:bCs/>
        </w:rPr>
        <w:t xml:space="preserve"> w </w:t>
      </w:r>
      <w:proofErr w:type="spellStart"/>
      <w:r w:rsidR="00086663" w:rsidRPr="00547EA5">
        <w:rPr>
          <w:rFonts w:ascii="Arial" w:hAnsi="Arial" w:cs="Arial"/>
          <w:bCs/>
        </w:rPr>
        <w:t>Dz.U.U.E</w:t>
      </w:r>
      <w:proofErr w:type="spellEnd"/>
      <w:r w:rsidR="00645748" w:rsidRPr="00547EA5">
        <w:rPr>
          <w:rFonts w:ascii="Arial" w:hAnsi="Arial" w:cs="Arial"/>
          <w:bCs/>
        </w:rPr>
        <w:t xml:space="preserve"> nr</w:t>
      </w:r>
      <w:r w:rsidR="00086663" w:rsidRPr="00547EA5">
        <w:rPr>
          <w:rFonts w:ascii="Arial" w:hAnsi="Arial" w:cs="Arial"/>
          <w:bCs/>
        </w:rPr>
        <w:t xml:space="preserve"> </w:t>
      </w:r>
      <w:r w:rsidR="00341BE2" w:rsidRPr="00547EA5">
        <w:rPr>
          <w:rFonts w:ascii="Arial" w:hAnsi="Arial" w:cs="Arial"/>
          <w:bCs/>
        </w:rPr>
        <w:t xml:space="preserve">2021/S 105-277683 </w:t>
      </w:r>
      <w:r w:rsidR="00086663" w:rsidRPr="00547EA5">
        <w:rPr>
          <w:rFonts w:ascii="Arial" w:hAnsi="Arial" w:cs="Arial"/>
          <w:bCs/>
        </w:rPr>
        <w:t>z dnia</w:t>
      </w:r>
      <w:r w:rsidR="00844532" w:rsidRPr="00547EA5">
        <w:rPr>
          <w:rFonts w:ascii="Arial" w:hAnsi="Arial" w:cs="Arial"/>
          <w:bCs/>
        </w:rPr>
        <w:t xml:space="preserve"> </w:t>
      </w:r>
      <w:r w:rsidR="00341BE2" w:rsidRPr="00547EA5">
        <w:rPr>
          <w:rFonts w:ascii="Arial" w:hAnsi="Arial" w:cs="Arial"/>
          <w:bCs/>
        </w:rPr>
        <w:t>02.06.2021</w:t>
      </w:r>
      <w:r w:rsidR="00645748" w:rsidRPr="00547EA5">
        <w:rPr>
          <w:rFonts w:ascii="Arial" w:hAnsi="Arial" w:cs="Arial"/>
          <w:bCs/>
        </w:rPr>
        <w:t xml:space="preserve"> r.</w:t>
      </w:r>
      <w:r w:rsidRPr="00547EA5">
        <w:rPr>
          <w:rFonts w:ascii="Arial" w:hAnsi="Arial" w:cs="Arial"/>
          <w:bCs/>
        </w:rPr>
        <w:t>)</w:t>
      </w:r>
    </w:p>
    <w:p w14:paraId="4D39F5CE" w14:textId="77777777" w:rsidR="00BA5C94" w:rsidRPr="00547EA5" w:rsidRDefault="00BA5C94" w:rsidP="006D4CF0">
      <w:pPr>
        <w:spacing w:after="0" w:line="240" w:lineRule="auto"/>
        <w:jc w:val="both"/>
        <w:rPr>
          <w:rFonts w:ascii="Arial" w:hAnsi="Arial" w:cs="Arial"/>
        </w:rPr>
      </w:pPr>
    </w:p>
    <w:p w14:paraId="4397CBA8" w14:textId="3B1F1B9F" w:rsidR="00425CE9" w:rsidRPr="00547EA5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547EA5">
        <w:rPr>
          <w:rFonts w:ascii="Arial" w:hAnsi="Arial" w:cs="Arial"/>
          <w:sz w:val="22"/>
          <w:szCs w:val="22"/>
        </w:rPr>
        <w:t xml:space="preserve">Zamawiający, którym jest Zarząd Transportu Miejskiego w Lublinie, ul. Nałęczowska 14, 20-701 Lublin na podstawie art. </w:t>
      </w:r>
      <w:r w:rsidR="0043356B" w:rsidRPr="00547EA5">
        <w:rPr>
          <w:rFonts w:ascii="Arial" w:hAnsi="Arial" w:cs="Arial"/>
          <w:sz w:val="22"/>
          <w:szCs w:val="22"/>
        </w:rPr>
        <w:t>135 ust. 1 w zw. z ust. 2</w:t>
      </w:r>
      <w:r w:rsidRPr="00547EA5">
        <w:rPr>
          <w:rFonts w:ascii="Arial" w:hAnsi="Arial" w:cs="Arial"/>
          <w:sz w:val="22"/>
          <w:szCs w:val="22"/>
        </w:rPr>
        <w:t xml:space="preserve"> ustawy z </w:t>
      </w:r>
      <w:r w:rsidR="00BA5C94" w:rsidRPr="00547EA5">
        <w:rPr>
          <w:rFonts w:ascii="Arial" w:hAnsi="Arial" w:cs="Arial"/>
          <w:sz w:val="22"/>
          <w:szCs w:val="22"/>
        </w:rPr>
        <w:t xml:space="preserve">dnia </w:t>
      </w:r>
      <w:r w:rsidR="00341BE2" w:rsidRPr="00547EA5">
        <w:rPr>
          <w:rFonts w:ascii="Arial" w:hAnsi="Arial" w:cs="Arial"/>
          <w:sz w:val="22"/>
          <w:szCs w:val="22"/>
        </w:rPr>
        <w:t>11 września 2019</w:t>
      </w:r>
      <w:r w:rsidRPr="00547EA5">
        <w:rPr>
          <w:rFonts w:ascii="Arial" w:hAnsi="Arial" w:cs="Arial"/>
          <w:sz w:val="22"/>
          <w:szCs w:val="22"/>
        </w:rPr>
        <w:t xml:space="preserve"> r.  Prawo zamówie</w:t>
      </w:r>
      <w:r w:rsidR="00086663" w:rsidRPr="00547EA5">
        <w:rPr>
          <w:rFonts w:ascii="Arial" w:hAnsi="Arial" w:cs="Arial"/>
          <w:sz w:val="22"/>
          <w:szCs w:val="22"/>
        </w:rPr>
        <w:t>ń publicznych (</w:t>
      </w:r>
      <w:proofErr w:type="spellStart"/>
      <w:r w:rsidR="00086663" w:rsidRPr="00547EA5">
        <w:rPr>
          <w:rFonts w:ascii="Arial" w:hAnsi="Arial" w:cs="Arial"/>
          <w:sz w:val="22"/>
          <w:szCs w:val="22"/>
        </w:rPr>
        <w:t>t.j</w:t>
      </w:r>
      <w:proofErr w:type="spellEnd"/>
      <w:r w:rsidR="00086663" w:rsidRPr="00547EA5">
        <w:rPr>
          <w:rFonts w:ascii="Arial" w:hAnsi="Arial" w:cs="Arial"/>
          <w:sz w:val="22"/>
          <w:szCs w:val="22"/>
        </w:rPr>
        <w:t>. Dz.U. z 2019</w:t>
      </w:r>
      <w:r w:rsidRPr="00547EA5">
        <w:rPr>
          <w:rFonts w:ascii="Arial" w:hAnsi="Arial" w:cs="Arial"/>
          <w:sz w:val="22"/>
          <w:szCs w:val="22"/>
        </w:rPr>
        <w:t xml:space="preserve"> r. poz. </w:t>
      </w:r>
      <w:r w:rsidR="00341BE2" w:rsidRPr="00547EA5">
        <w:rPr>
          <w:rFonts w:ascii="Arial" w:hAnsi="Arial" w:cs="Arial"/>
          <w:sz w:val="22"/>
          <w:szCs w:val="22"/>
        </w:rPr>
        <w:t>1919</w:t>
      </w:r>
      <w:r w:rsidRPr="00547EA5">
        <w:rPr>
          <w:rFonts w:ascii="Arial" w:hAnsi="Arial" w:cs="Arial"/>
          <w:sz w:val="22"/>
          <w:szCs w:val="22"/>
        </w:rPr>
        <w:t xml:space="preserve"> ze zm.)</w:t>
      </w:r>
      <w:r w:rsidR="006A6B84" w:rsidRPr="00547EA5">
        <w:rPr>
          <w:rFonts w:ascii="Arial" w:hAnsi="Arial" w:cs="Arial"/>
          <w:sz w:val="22"/>
          <w:szCs w:val="22"/>
        </w:rPr>
        <w:t xml:space="preserve"> </w:t>
      </w:r>
      <w:r w:rsidRPr="00547EA5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 dostawę pn.</w:t>
      </w:r>
      <w:r w:rsidR="00844532" w:rsidRPr="00547EA5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341BE2" w:rsidRPr="00547EA5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„Dostawa i wdrożenie  sieciowych urządzeń typu Firewall do zabezpieczenia sieci teleinformatycznej na potrzeby systemu biletu elektronicznego komunikacji aglomeracyjnej” </w:t>
      </w:r>
      <w:r w:rsidRPr="00547EA5">
        <w:rPr>
          <w:rFonts w:ascii="Arial" w:hAnsi="Arial" w:cs="Arial"/>
          <w:sz w:val="22"/>
          <w:szCs w:val="22"/>
        </w:rPr>
        <w:t>do zamawiającego wpłynęły następujące zapytania dotyczące wyjaśnienia treści specyfikacji warunków zamówienia</w:t>
      </w:r>
      <w:r w:rsidR="00341BE2" w:rsidRPr="00547EA5">
        <w:rPr>
          <w:rFonts w:ascii="Arial" w:hAnsi="Arial" w:cs="Arial"/>
          <w:sz w:val="22"/>
          <w:szCs w:val="22"/>
        </w:rPr>
        <w:t xml:space="preserve"> (SWZ)</w:t>
      </w:r>
      <w:r w:rsidRPr="00547EA5">
        <w:rPr>
          <w:rFonts w:ascii="Arial" w:hAnsi="Arial" w:cs="Arial"/>
          <w:sz w:val="22"/>
          <w:szCs w:val="22"/>
        </w:rPr>
        <w:t>:</w:t>
      </w:r>
    </w:p>
    <w:p w14:paraId="316CD47C" w14:textId="77777777" w:rsidR="008612B5" w:rsidRPr="00547EA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40DA8B" w14:textId="77777777" w:rsidR="00547EA5" w:rsidRDefault="00547EA5" w:rsidP="006457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205477" w14:textId="77777777" w:rsidR="00645748" w:rsidRPr="00547EA5" w:rsidRDefault="00645748" w:rsidP="006457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 xml:space="preserve">Pytanie nr 1 </w:t>
      </w:r>
    </w:p>
    <w:p w14:paraId="74C31774" w14:textId="5A27A70F" w:rsidR="00341BE2" w:rsidRPr="00547EA5" w:rsidRDefault="00341BE2" w:rsidP="006457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hAnsi="Arial" w:cs="Arial"/>
        </w:rPr>
        <w:t>W „Opisie Przedmiotu Zamówienia – zał. nr 1” dla urządzenia typu firewall Zamawiający zawarł następujące wymaganie:</w:t>
      </w:r>
      <w:r w:rsidRPr="00547EA5">
        <w:rPr>
          <w:rFonts w:ascii="Arial" w:hAnsi="Arial" w:cs="Arial"/>
        </w:rPr>
        <w:br/>
        <w:t>„1.26. Nie ogranicza licencyjnie ilości użytkowników dla których zestawian</w:t>
      </w:r>
      <w:r w:rsidR="00547EA5">
        <w:rPr>
          <w:rFonts w:ascii="Arial" w:hAnsi="Arial" w:cs="Arial"/>
        </w:rPr>
        <w:t>e mogą być połączenia SSL VPN.”</w:t>
      </w:r>
      <w:r w:rsidRPr="00547EA5">
        <w:rPr>
          <w:rFonts w:ascii="Arial" w:hAnsi="Arial" w:cs="Arial"/>
        </w:rPr>
        <w:br/>
        <w:t>Uprzejmie informujemy, że na dzień dzisiejszy żaden z producentów urządzeń firewall nie oferuje nieograniczonej ilości użytkowników dla których zestawiane mogą być połączenia SSL VPN.</w:t>
      </w:r>
      <w:r w:rsidRPr="00547EA5">
        <w:rPr>
          <w:rFonts w:ascii="Arial" w:hAnsi="Arial" w:cs="Arial"/>
        </w:rPr>
        <w:br/>
        <w:t>Ponadto nawet jak jest w cenie urządzenia bazowego pewna określona ilość licencji SSL VPN to nie jest ona „za darmo” tylko została wliczona przez producenta w cenę konfiguracji podstawo</w:t>
      </w:r>
      <w:r w:rsidR="00547EA5">
        <w:rPr>
          <w:rFonts w:ascii="Arial" w:hAnsi="Arial" w:cs="Arial"/>
        </w:rPr>
        <w:t>wej za którą płaci Zamawiający.</w:t>
      </w:r>
      <w:r w:rsidRPr="00547EA5">
        <w:rPr>
          <w:rFonts w:ascii="Arial" w:hAnsi="Arial" w:cs="Arial"/>
        </w:rPr>
        <w:br/>
        <w:t>W związku z powyższym oraz faktem, że Zamawiający zawarł już w specyfikacji wymagania co do połączeń szyfrowanych użytkowników przy użyciu innego protokołu (</w:t>
      </w:r>
      <w:proofErr w:type="spellStart"/>
      <w:r w:rsidRPr="00547EA5">
        <w:rPr>
          <w:rFonts w:ascii="Arial" w:hAnsi="Arial" w:cs="Arial"/>
        </w:rPr>
        <w:t>IPsec</w:t>
      </w:r>
      <w:proofErr w:type="spellEnd"/>
      <w:r w:rsidRPr="00547EA5">
        <w:rPr>
          <w:rFonts w:ascii="Arial" w:hAnsi="Arial" w:cs="Arial"/>
        </w:rPr>
        <w:t>) który jest sposobem równoważnym, a w wielu kwestiach posiada wyższe parametry połączeń VPN użytkowników niż połączenie SSL VPN, zwracamy się z prośbą o usunięcie punktu 1.26.</w:t>
      </w:r>
    </w:p>
    <w:p w14:paraId="505C5B0F" w14:textId="072C2197" w:rsidR="00402B6F" w:rsidRPr="00100455" w:rsidRDefault="00844532" w:rsidP="00100455">
      <w:pPr>
        <w:spacing w:after="0"/>
        <w:jc w:val="both"/>
        <w:rPr>
          <w:rFonts w:ascii="Arial" w:eastAsia="Calibri" w:hAnsi="Arial" w:cs="Arial"/>
          <w:b/>
          <w:color w:val="000000"/>
        </w:rPr>
      </w:pPr>
      <w:r w:rsidRPr="00547EA5">
        <w:rPr>
          <w:rFonts w:ascii="Arial" w:eastAsia="Calibri" w:hAnsi="Arial" w:cs="Arial"/>
          <w:b/>
          <w:color w:val="000000"/>
        </w:rPr>
        <w:t>Odpowiedź zamawiającego:</w:t>
      </w:r>
      <w:r w:rsidR="005A2554" w:rsidRPr="00547EA5">
        <w:rPr>
          <w:rFonts w:ascii="Arial" w:eastAsia="Calibri" w:hAnsi="Arial" w:cs="Arial"/>
          <w:b/>
          <w:color w:val="000000"/>
        </w:rPr>
        <w:t xml:space="preserve"> </w:t>
      </w:r>
      <w:r w:rsidR="00402B6F" w:rsidRPr="004608E1">
        <w:rPr>
          <w:rFonts w:ascii="Arial" w:hAnsi="Arial" w:cs="Arial"/>
        </w:rPr>
        <w:t xml:space="preserve">Zamawiający zmienił zapisy </w:t>
      </w:r>
      <w:r w:rsidR="00100455">
        <w:rPr>
          <w:rFonts w:ascii="Arial" w:hAnsi="Arial" w:cs="Arial"/>
        </w:rPr>
        <w:t>SWZ, zmniejszając wymagania, tak aby dopuścić urządzenia, których producent nie oferuje nieograniczonej ilości</w:t>
      </w:r>
      <w:r w:rsidR="00100455" w:rsidRPr="00100455">
        <w:rPr>
          <w:rFonts w:ascii="Arial" w:hAnsi="Arial" w:cs="Arial"/>
        </w:rPr>
        <w:t xml:space="preserve"> </w:t>
      </w:r>
      <w:r w:rsidR="00100455">
        <w:rPr>
          <w:rFonts w:ascii="Arial" w:hAnsi="Arial" w:cs="Arial"/>
        </w:rPr>
        <w:t xml:space="preserve">użytkowników, dla których mogą być zestawiane połączenia SSL VPN, wskazując minimalne ilości </w:t>
      </w:r>
      <w:r w:rsidR="00817D19">
        <w:rPr>
          <w:rFonts w:ascii="Arial" w:hAnsi="Arial" w:cs="Arial"/>
        </w:rPr>
        <w:t>połączeń</w:t>
      </w:r>
      <w:r w:rsidR="00100455">
        <w:rPr>
          <w:rFonts w:ascii="Arial" w:hAnsi="Arial" w:cs="Arial"/>
        </w:rPr>
        <w:t xml:space="preserve"> SSL VPN</w:t>
      </w:r>
      <w:r w:rsidR="00817D19">
        <w:rPr>
          <w:rFonts w:ascii="Arial" w:hAnsi="Arial" w:cs="Arial"/>
        </w:rPr>
        <w:t>.</w:t>
      </w:r>
    </w:p>
    <w:p w14:paraId="61C4A78B" w14:textId="77777777" w:rsidR="00402B6F" w:rsidRPr="00547EA5" w:rsidRDefault="00402B6F" w:rsidP="000907B7">
      <w:pPr>
        <w:spacing w:after="0"/>
        <w:jc w:val="both"/>
        <w:rPr>
          <w:rFonts w:ascii="Arial" w:eastAsia="Calibri" w:hAnsi="Arial" w:cs="Arial"/>
          <w:bCs/>
        </w:rPr>
      </w:pPr>
    </w:p>
    <w:p w14:paraId="4FA941E8" w14:textId="77777777" w:rsidR="00844532" w:rsidRPr="00547EA5" w:rsidRDefault="00844532" w:rsidP="000907B7">
      <w:pPr>
        <w:spacing w:after="0"/>
        <w:ind w:left="720"/>
        <w:jc w:val="both"/>
        <w:rPr>
          <w:rFonts w:ascii="Arial" w:eastAsia="Calibri" w:hAnsi="Arial" w:cs="Arial"/>
          <w:color w:val="000000"/>
        </w:rPr>
      </w:pPr>
    </w:p>
    <w:p w14:paraId="33737A6E" w14:textId="0390FCF0" w:rsidR="0043356B" w:rsidRPr="00547EA5" w:rsidRDefault="00124312" w:rsidP="00547EA5">
      <w:pPr>
        <w:spacing w:after="0"/>
        <w:jc w:val="both"/>
        <w:rPr>
          <w:rFonts w:ascii="Arial" w:eastAsia="Calibri" w:hAnsi="Arial" w:cs="Arial"/>
          <w:b/>
          <w:color w:val="000000"/>
        </w:rPr>
      </w:pPr>
      <w:r w:rsidRPr="00547EA5">
        <w:rPr>
          <w:rFonts w:ascii="Arial" w:eastAsia="Calibri" w:hAnsi="Arial" w:cs="Arial"/>
          <w:b/>
          <w:color w:val="000000"/>
        </w:rPr>
        <w:t>Pytanie nr 2</w:t>
      </w:r>
    </w:p>
    <w:p w14:paraId="3AFE5855" w14:textId="77777777" w:rsidR="00124312" w:rsidRPr="00124312" w:rsidRDefault="00124312" w:rsidP="00547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8F9889" w14:textId="0602BBA4" w:rsidR="00124312" w:rsidRPr="00124312" w:rsidRDefault="00124312" w:rsidP="00547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4312">
        <w:rPr>
          <w:rFonts w:ascii="Arial" w:hAnsi="Arial" w:cs="Arial"/>
          <w:color w:val="000000"/>
        </w:rPr>
        <w:t xml:space="preserve">Z uwagi na to, iż opis przedmiotu zamówienia stanowi kluczowy element przygotowanej przez Zamawiającego dokumentacji przetargowej, nie może ona w żaden sposób ograniczać swobodnego dostępu do udziału w postępowaniu, a w szczególności zawierać sformułowań wskazujących na konkretnego wykonawcę lub nazwy własne towarów (usług, produktów, itp.). </w:t>
      </w:r>
    </w:p>
    <w:p w14:paraId="6C4440B4" w14:textId="01DB8994" w:rsidR="00124312" w:rsidRPr="00547EA5" w:rsidRDefault="00124312" w:rsidP="00547EA5">
      <w:pPr>
        <w:spacing w:after="0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 xml:space="preserve">Zamawiający opisał przedmiot zamówienia w części opisu przedmiotu zamówienia poprzez wskazanie parametrów technicznych, gdzie choć zapisy ogólne dopuszczają wielu producentów </w:t>
      </w:r>
      <w:r w:rsidRPr="00547EA5">
        <w:rPr>
          <w:rFonts w:ascii="Arial" w:hAnsi="Arial" w:cs="Arial"/>
          <w:color w:val="000000"/>
        </w:rPr>
        <w:lastRenderedPageBreak/>
        <w:t>rozwiązań do uczestniczenia w postępowaniu jednakże część zapisów (zawartych w dokumencie załącznik nr 1 do SWZ) takich jak:</w:t>
      </w:r>
    </w:p>
    <w:p w14:paraId="03DE3925" w14:textId="44190CA0" w:rsidR="00124312" w:rsidRPr="00124312" w:rsidRDefault="00124312" w:rsidP="00547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45AD0B" w14:textId="56CCD983" w:rsidR="00124312" w:rsidRPr="00547EA5" w:rsidRDefault="00124312" w:rsidP="00547E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>pkt. 1.27 (firewall) „</w:t>
      </w:r>
      <w:r w:rsidRPr="00547EA5">
        <w:rPr>
          <w:rFonts w:ascii="Arial" w:hAnsi="Arial" w:cs="Arial"/>
          <w:i/>
          <w:iCs/>
          <w:color w:val="000000"/>
        </w:rPr>
        <w:t xml:space="preserve">posiadać wydajność minimum 35 </w:t>
      </w:r>
      <w:proofErr w:type="spellStart"/>
      <w:r w:rsidRPr="00547EA5">
        <w:rPr>
          <w:rFonts w:ascii="Arial" w:hAnsi="Arial" w:cs="Arial"/>
          <w:i/>
          <w:iCs/>
          <w:color w:val="000000"/>
        </w:rPr>
        <w:t>Gbps</w:t>
      </w:r>
      <w:proofErr w:type="spellEnd"/>
      <w:r w:rsidRPr="00547EA5">
        <w:rPr>
          <w:rFonts w:ascii="Arial" w:hAnsi="Arial" w:cs="Arial"/>
          <w:i/>
          <w:iCs/>
          <w:color w:val="000000"/>
        </w:rPr>
        <w:t xml:space="preserve"> ruchu poddawanego inspekcji przez mechanizmy zapory sieciowej (firewall </w:t>
      </w:r>
      <w:proofErr w:type="spellStart"/>
      <w:r w:rsidRPr="00547EA5">
        <w:rPr>
          <w:rFonts w:ascii="Arial" w:hAnsi="Arial" w:cs="Arial"/>
          <w:i/>
          <w:iCs/>
          <w:color w:val="000000"/>
        </w:rPr>
        <w:t>throughput</w:t>
      </w:r>
      <w:proofErr w:type="spellEnd"/>
      <w:r w:rsidRPr="00547EA5">
        <w:rPr>
          <w:rFonts w:ascii="Arial" w:hAnsi="Arial" w:cs="Arial"/>
          <w:i/>
          <w:iCs/>
          <w:color w:val="000000"/>
        </w:rPr>
        <w:t>)</w:t>
      </w:r>
      <w:r w:rsidRPr="00547EA5">
        <w:rPr>
          <w:rFonts w:ascii="Arial" w:hAnsi="Arial" w:cs="Arial"/>
          <w:color w:val="000000"/>
        </w:rPr>
        <w:t xml:space="preserve">” </w:t>
      </w:r>
    </w:p>
    <w:p w14:paraId="330C5132" w14:textId="77777777" w:rsidR="00124312" w:rsidRPr="00547EA5" w:rsidRDefault="00124312" w:rsidP="00547E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13" w:line="240" w:lineRule="auto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>b) pkt.1.27 (firewall) „</w:t>
      </w:r>
      <w:r w:rsidRPr="00547EA5">
        <w:rPr>
          <w:rFonts w:ascii="Arial" w:hAnsi="Arial" w:cs="Arial"/>
          <w:i/>
          <w:iCs/>
          <w:color w:val="000000"/>
        </w:rPr>
        <w:t xml:space="preserve">posiadać wydajność minimum 9 </w:t>
      </w:r>
      <w:proofErr w:type="spellStart"/>
      <w:r w:rsidRPr="00547EA5">
        <w:rPr>
          <w:rFonts w:ascii="Arial" w:hAnsi="Arial" w:cs="Arial"/>
          <w:i/>
          <w:iCs/>
          <w:color w:val="000000"/>
        </w:rPr>
        <w:t>Gbps</w:t>
      </w:r>
      <w:proofErr w:type="spellEnd"/>
      <w:r w:rsidRPr="00547EA5">
        <w:rPr>
          <w:rFonts w:ascii="Arial" w:hAnsi="Arial" w:cs="Arial"/>
          <w:i/>
          <w:iCs/>
          <w:color w:val="000000"/>
        </w:rPr>
        <w:t xml:space="preserve"> dla ochrony NGFW (NGFW </w:t>
      </w:r>
      <w:proofErr w:type="spellStart"/>
      <w:r w:rsidRPr="00547EA5">
        <w:rPr>
          <w:rFonts w:ascii="Arial" w:hAnsi="Arial" w:cs="Arial"/>
          <w:i/>
          <w:iCs/>
          <w:color w:val="000000"/>
        </w:rPr>
        <w:t>throughput</w:t>
      </w:r>
      <w:proofErr w:type="spellEnd"/>
      <w:r w:rsidRPr="00547EA5">
        <w:rPr>
          <w:rFonts w:ascii="Arial" w:hAnsi="Arial" w:cs="Arial"/>
          <w:i/>
          <w:iCs/>
          <w:color w:val="000000"/>
        </w:rPr>
        <w:t xml:space="preserve"> – obejmujący Firewall, Application Control, IPS),</w:t>
      </w:r>
      <w:r w:rsidRPr="00547EA5">
        <w:rPr>
          <w:rFonts w:ascii="Arial" w:hAnsi="Arial" w:cs="Arial"/>
          <w:color w:val="000000"/>
        </w:rPr>
        <w:t xml:space="preserve">” </w:t>
      </w:r>
    </w:p>
    <w:p w14:paraId="7A93A89A" w14:textId="77777777" w:rsidR="00124312" w:rsidRPr="00547EA5" w:rsidRDefault="00124312" w:rsidP="00547E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>c) pkt. 2 (</w:t>
      </w:r>
      <w:proofErr w:type="spellStart"/>
      <w:r w:rsidRPr="00547EA5">
        <w:rPr>
          <w:rFonts w:ascii="Arial" w:hAnsi="Arial" w:cs="Arial"/>
          <w:color w:val="000000"/>
        </w:rPr>
        <w:t>sandbox</w:t>
      </w:r>
      <w:proofErr w:type="spellEnd"/>
      <w:r w:rsidRPr="00547EA5">
        <w:rPr>
          <w:rFonts w:ascii="Arial" w:hAnsi="Arial" w:cs="Arial"/>
          <w:color w:val="000000"/>
        </w:rPr>
        <w:t>) „</w:t>
      </w:r>
      <w:r w:rsidRPr="00547EA5">
        <w:rPr>
          <w:rFonts w:ascii="Arial" w:hAnsi="Arial" w:cs="Arial"/>
          <w:i/>
          <w:iCs/>
          <w:color w:val="000000"/>
        </w:rPr>
        <w:t>Powinna istnieć możliwość implementacji systemu w trybie nasłuchu oraz współpracy z systemami zabezpieczeń klasy NGFW (</w:t>
      </w:r>
      <w:proofErr w:type="spellStart"/>
      <w:r w:rsidRPr="00547EA5">
        <w:rPr>
          <w:rFonts w:ascii="Arial" w:hAnsi="Arial" w:cs="Arial"/>
          <w:i/>
          <w:iCs/>
          <w:color w:val="000000"/>
        </w:rPr>
        <w:t>NextGeneration</w:t>
      </w:r>
      <w:proofErr w:type="spellEnd"/>
      <w:r w:rsidRPr="00547EA5">
        <w:rPr>
          <w:rFonts w:ascii="Arial" w:hAnsi="Arial" w:cs="Arial"/>
          <w:i/>
          <w:iCs/>
          <w:color w:val="000000"/>
        </w:rPr>
        <w:t xml:space="preserve"> Firewall) lub SWG (Security Web Gateway), SEG (</w:t>
      </w:r>
      <w:proofErr w:type="spellStart"/>
      <w:r w:rsidRPr="00547EA5">
        <w:rPr>
          <w:rFonts w:ascii="Arial" w:hAnsi="Arial" w:cs="Arial"/>
          <w:i/>
          <w:iCs/>
          <w:color w:val="000000"/>
        </w:rPr>
        <w:t>Secure</w:t>
      </w:r>
      <w:proofErr w:type="spellEnd"/>
      <w:r w:rsidRPr="00547EA5">
        <w:rPr>
          <w:rFonts w:ascii="Arial" w:hAnsi="Arial" w:cs="Arial"/>
          <w:i/>
          <w:iCs/>
          <w:color w:val="000000"/>
        </w:rPr>
        <w:t xml:space="preserve"> Email Gateway) oraz w oparciu o interfejsy programistyczne API.</w:t>
      </w:r>
      <w:r w:rsidRPr="00547EA5">
        <w:rPr>
          <w:rFonts w:ascii="Arial" w:hAnsi="Arial" w:cs="Arial"/>
          <w:color w:val="000000"/>
        </w:rPr>
        <w:t xml:space="preserve">” </w:t>
      </w:r>
    </w:p>
    <w:p w14:paraId="100625A1" w14:textId="0DB81A0E" w:rsidR="00124312" w:rsidRPr="00547EA5" w:rsidRDefault="00124312" w:rsidP="00547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 xml:space="preserve">powoduje, iż spełnia je tylko jeden producent sprzętu tj. firma </w:t>
      </w:r>
      <w:proofErr w:type="spellStart"/>
      <w:r w:rsidRPr="00547EA5">
        <w:rPr>
          <w:rFonts w:ascii="Arial" w:hAnsi="Arial" w:cs="Arial"/>
          <w:color w:val="000000"/>
        </w:rPr>
        <w:t>Fortigate</w:t>
      </w:r>
      <w:proofErr w:type="spellEnd"/>
      <w:r w:rsidRPr="00547EA5">
        <w:rPr>
          <w:rFonts w:ascii="Arial" w:hAnsi="Arial" w:cs="Arial"/>
          <w:color w:val="000000"/>
        </w:rPr>
        <w:t xml:space="preserve"> zgodnie z poniższym zestawieniem: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2626"/>
        <w:gridCol w:w="2626"/>
      </w:tblGrid>
      <w:tr w:rsidR="00124312" w:rsidRPr="00547EA5" w14:paraId="6C517D79" w14:textId="77777777" w:rsidTr="00124312">
        <w:trPr>
          <w:trHeight w:val="121"/>
        </w:trPr>
        <w:tc>
          <w:tcPr>
            <w:tcW w:w="2626" w:type="dxa"/>
          </w:tcPr>
          <w:p w14:paraId="25B383D7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Produkt </w:t>
            </w:r>
          </w:p>
        </w:tc>
        <w:tc>
          <w:tcPr>
            <w:tcW w:w="2626" w:type="dxa"/>
          </w:tcPr>
          <w:p w14:paraId="72D5A5CB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Producent </w:t>
            </w:r>
          </w:p>
        </w:tc>
        <w:tc>
          <w:tcPr>
            <w:tcW w:w="2626" w:type="dxa"/>
          </w:tcPr>
          <w:p w14:paraId="09466305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Model/ PN </w:t>
            </w:r>
          </w:p>
        </w:tc>
      </w:tr>
      <w:tr w:rsidR="00124312" w:rsidRPr="00547EA5" w14:paraId="44D4752C" w14:textId="77777777" w:rsidTr="00124312">
        <w:trPr>
          <w:trHeight w:val="112"/>
        </w:trPr>
        <w:tc>
          <w:tcPr>
            <w:tcW w:w="2626" w:type="dxa"/>
          </w:tcPr>
          <w:p w14:paraId="0D476FD0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Firewall </w:t>
            </w:r>
          </w:p>
        </w:tc>
        <w:tc>
          <w:tcPr>
            <w:tcW w:w="2626" w:type="dxa"/>
          </w:tcPr>
          <w:p w14:paraId="089944ED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547EA5">
              <w:rPr>
                <w:rFonts w:ascii="Arial" w:eastAsia="Calibri" w:hAnsi="Arial" w:cs="Arial"/>
                <w:b/>
                <w:color w:val="000000"/>
              </w:rPr>
              <w:t>Fortinet</w:t>
            </w:r>
            <w:proofErr w:type="spellEnd"/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26" w:type="dxa"/>
          </w:tcPr>
          <w:p w14:paraId="7AF5DAB6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547EA5">
              <w:rPr>
                <w:rFonts w:ascii="Arial" w:eastAsia="Calibri" w:hAnsi="Arial" w:cs="Arial"/>
                <w:b/>
                <w:color w:val="000000"/>
              </w:rPr>
              <w:t>FortiGate</w:t>
            </w:r>
            <w:proofErr w:type="spellEnd"/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 600E </w:t>
            </w:r>
          </w:p>
        </w:tc>
      </w:tr>
      <w:tr w:rsidR="00124312" w:rsidRPr="00547EA5" w14:paraId="1E5C825A" w14:textId="77777777" w:rsidTr="00124312">
        <w:trPr>
          <w:trHeight w:val="112"/>
        </w:trPr>
        <w:tc>
          <w:tcPr>
            <w:tcW w:w="2626" w:type="dxa"/>
          </w:tcPr>
          <w:p w14:paraId="259FF8F8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547EA5">
              <w:rPr>
                <w:rFonts w:ascii="Arial" w:eastAsia="Calibri" w:hAnsi="Arial" w:cs="Arial"/>
                <w:b/>
                <w:color w:val="000000"/>
              </w:rPr>
              <w:t>Sandbox</w:t>
            </w:r>
            <w:proofErr w:type="spellEnd"/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26" w:type="dxa"/>
          </w:tcPr>
          <w:p w14:paraId="051F0FB9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547EA5">
              <w:rPr>
                <w:rFonts w:ascii="Arial" w:eastAsia="Calibri" w:hAnsi="Arial" w:cs="Arial"/>
                <w:b/>
                <w:color w:val="000000"/>
              </w:rPr>
              <w:t>Fortinet</w:t>
            </w:r>
            <w:proofErr w:type="spellEnd"/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26" w:type="dxa"/>
          </w:tcPr>
          <w:p w14:paraId="13AAE694" w14:textId="77777777" w:rsidR="00124312" w:rsidRPr="00547EA5" w:rsidRDefault="00124312" w:rsidP="00547EA5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547EA5">
              <w:rPr>
                <w:rFonts w:ascii="Arial" w:eastAsia="Calibri" w:hAnsi="Arial" w:cs="Arial"/>
                <w:b/>
                <w:color w:val="000000"/>
              </w:rPr>
              <w:t>FortiSandbox</w:t>
            </w:r>
            <w:proofErr w:type="spellEnd"/>
            <w:r w:rsidRPr="00547EA5">
              <w:rPr>
                <w:rFonts w:ascii="Arial" w:eastAsia="Calibri" w:hAnsi="Arial" w:cs="Arial"/>
                <w:b/>
                <w:color w:val="000000"/>
              </w:rPr>
              <w:t xml:space="preserve"> 1000F </w:t>
            </w:r>
          </w:p>
        </w:tc>
      </w:tr>
    </w:tbl>
    <w:p w14:paraId="0B1256F6" w14:textId="77777777" w:rsidR="00124312" w:rsidRPr="00547EA5" w:rsidRDefault="00124312" w:rsidP="00547EA5">
      <w:pPr>
        <w:spacing w:after="0"/>
        <w:jc w:val="both"/>
        <w:rPr>
          <w:rFonts w:ascii="Arial" w:eastAsia="Calibri" w:hAnsi="Arial" w:cs="Arial"/>
          <w:color w:val="000000"/>
        </w:rPr>
      </w:pPr>
      <w:r w:rsidRPr="00547EA5">
        <w:rPr>
          <w:rFonts w:ascii="Arial" w:eastAsia="Calibri" w:hAnsi="Arial" w:cs="Arial"/>
          <w:color w:val="000000"/>
        </w:rPr>
        <w:t>Wprowadzając do w/w opisów ściśle określone kombinacje parametrów technicznych zamawiający doprowadził do istotnego ograniczenia konkurencji.</w:t>
      </w:r>
    </w:p>
    <w:p w14:paraId="599ECF11" w14:textId="77777777" w:rsidR="00124312" w:rsidRPr="00547EA5" w:rsidRDefault="00124312" w:rsidP="00547EA5">
      <w:pPr>
        <w:spacing w:after="0"/>
        <w:jc w:val="both"/>
        <w:rPr>
          <w:rFonts w:ascii="Arial" w:eastAsia="Calibri" w:hAnsi="Arial" w:cs="Arial"/>
          <w:color w:val="000000"/>
        </w:rPr>
      </w:pPr>
      <w:r w:rsidRPr="00547EA5">
        <w:rPr>
          <w:rFonts w:ascii="Arial" w:eastAsia="Calibri" w:hAnsi="Arial" w:cs="Arial"/>
          <w:color w:val="000000"/>
        </w:rPr>
        <w:t>Wynika to z faktu, iż jedynie „</w:t>
      </w:r>
      <w:proofErr w:type="spellStart"/>
      <w:r w:rsidRPr="00547EA5">
        <w:rPr>
          <w:rFonts w:ascii="Arial" w:eastAsia="Calibri" w:hAnsi="Arial" w:cs="Arial"/>
          <w:color w:val="000000"/>
        </w:rPr>
        <w:t>Fortinet</w:t>
      </w:r>
      <w:proofErr w:type="spellEnd"/>
      <w:r w:rsidRPr="00547EA5">
        <w:rPr>
          <w:rFonts w:ascii="Arial" w:eastAsia="Calibri" w:hAnsi="Arial" w:cs="Arial"/>
          <w:color w:val="000000"/>
        </w:rPr>
        <w:t xml:space="preserve">” jest producentem opisanych w tych pozycjach urządzeń. Ponadto funkcjonalność urządzeń o tak określonych parametrach technicznych jest możliwa do otrzymania tylko i wyłącznie przy wykorzystaniu urządzeń </w:t>
      </w:r>
      <w:proofErr w:type="spellStart"/>
      <w:r w:rsidRPr="00547EA5">
        <w:rPr>
          <w:rFonts w:ascii="Arial" w:eastAsia="Calibri" w:hAnsi="Arial" w:cs="Arial"/>
          <w:color w:val="000000"/>
        </w:rPr>
        <w:t>Fortinet</w:t>
      </w:r>
      <w:proofErr w:type="spellEnd"/>
      <w:r w:rsidRPr="00547EA5">
        <w:rPr>
          <w:rFonts w:ascii="Arial" w:eastAsia="Calibri" w:hAnsi="Arial" w:cs="Arial"/>
          <w:color w:val="000000"/>
        </w:rPr>
        <w:t>. Takie opisanie urządzeń stanowi dyskryminację innych wykonawców/producentów, którzy oferują wyroby o porównywalnych parametrach oraz stanowi niczym nie uzasadnione uprzywilejowanie jednego konkretnego producenta, „</w:t>
      </w:r>
      <w:proofErr w:type="spellStart"/>
      <w:r w:rsidRPr="00547EA5">
        <w:rPr>
          <w:rFonts w:ascii="Arial" w:eastAsia="Calibri" w:hAnsi="Arial" w:cs="Arial"/>
          <w:color w:val="000000"/>
        </w:rPr>
        <w:t>Fortinet</w:t>
      </w:r>
      <w:proofErr w:type="spellEnd"/>
      <w:r w:rsidRPr="00547EA5">
        <w:rPr>
          <w:rFonts w:ascii="Arial" w:eastAsia="Calibri" w:hAnsi="Arial" w:cs="Arial"/>
          <w:color w:val="000000"/>
        </w:rPr>
        <w:t xml:space="preserve">”. Nie można uznać, iż występuje tu jednakowe traktowanie wszystkich wykonawców oraz zachowanie uczciwej konkurencji, jeżeli zawarty opis przedmiotu zamówienia został określony w sposób wskazujący na konkretny produkt konkretnego producenta </w:t>
      </w:r>
      <w:proofErr w:type="spellStart"/>
      <w:r w:rsidRPr="00547EA5">
        <w:rPr>
          <w:rFonts w:ascii="Arial" w:eastAsia="Calibri" w:hAnsi="Arial" w:cs="Arial"/>
          <w:color w:val="000000"/>
        </w:rPr>
        <w:t>Fortinet</w:t>
      </w:r>
      <w:proofErr w:type="spellEnd"/>
      <w:r w:rsidRPr="00547EA5">
        <w:rPr>
          <w:rFonts w:ascii="Arial" w:eastAsia="Calibri" w:hAnsi="Arial" w:cs="Arial"/>
          <w:color w:val="000000"/>
        </w:rPr>
        <w:t>.</w:t>
      </w:r>
    </w:p>
    <w:p w14:paraId="2335902B" w14:textId="77777777" w:rsidR="00124312" w:rsidRPr="00547EA5" w:rsidRDefault="00124312" w:rsidP="00547EA5">
      <w:pPr>
        <w:spacing w:after="0"/>
        <w:jc w:val="both"/>
        <w:rPr>
          <w:rFonts w:ascii="Arial" w:eastAsia="Calibri" w:hAnsi="Arial" w:cs="Arial"/>
          <w:color w:val="000000"/>
        </w:rPr>
      </w:pPr>
      <w:r w:rsidRPr="00547EA5">
        <w:rPr>
          <w:rFonts w:ascii="Arial" w:eastAsia="Calibri" w:hAnsi="Arial" w:cs="Arial"/>
          <w:color w:val="000000"/>
        </w:rPr>
        <w:t>Zamawiający wskazując w specyfikacji istotnych warunków zamówienia na konkretny produkt a pomijając minimalne wymagania dające obraz realnych oczekiwań co do oferowanego produktu, narusza zasadę uczciwej konkurencji i zasadę równego dostępu do zamówienia publicznego, zniechęcając do udziału w postępowaniu wykonawców oferujących produkty innych marek.</w:t>
      </w:r>
    </w:p>
    <w:p w14:paraId="5E39A305" w14:textId="58E87EFC" w:rsidR="00124312" w:rsidRPr="00547EA5" w:rsidRDefault="00124312" w:rsidP="00547EA5">
      <w:pPr>
        <w:spacing w:after="0"/>
        <w:jc w:val="both"/>
        <w:rPr>
          <w:rFonts w:ascii="Arial" w:eastAsia="Calibri" w:hAnsi="Arial" w:cs="Arial"/>
          <w:color w:val="000000"/>
        </w:rPr>
      </w:pPr>
      <w:r w:rsidRPr="00547EA5">
        <w:rPr>
          <w:rFonts w:ascii="Arial" w:eastAsia="Calibri" w:hAnsi="Arial" w:cs="Arial"/>
          <w:color w:val="000000"/>
        </w:rPr>
        <w:t xml:space="preserve">Opis przedmiotu zamówienia w Postępowaniu został zatem dokonany z naruszeniem art. 99 ust. 4 ustawy </w:t>
      </w:r>
      <w:proofErr w:type="spellStart"/>
      <w:r w:rsidRPr="00547EA5">
        <w:rPr>
          <w:rFonts w:ascii="Arial" w:eastAsia="Calibri" w:hAnsi="Arial" w:cs="Arial"/>
          <w:color w:val="000000"/>
        </w:rPr>
        <w:t>Pzp</w:t>
      </w:r>
      <w:proofErr w:type="spellEnd"/>
      <w:r w:rsidRPr="00547EA5">
        <w:rPr>
          <w:rFonts w:ascii="Arial" w:eastAsia="Calibri" w:hAnsi="Arial" w:cs="Arial"/>
          <w:color w:val="000000"/>
        </w:rPr>
        <w:t xml:space="preserve">, w sposób, który utrudnia uczciwą konkurencję. Ustawa </w:t>
      </w:r>
      <w:proofErr w:type="spellStart"/>
      <w:r w:rsidRPr="00547EA5">
        <w:rPr>
          <w:rFonts w:ascii="Arial" w:eastAsia="Calibri" w:hAnsi="Arial" w:cs="Arial"/>
          <w:color w:val="000000"/>
        </w:rPr>
        <w:t>Pzp</w:t>
      </w:r>
      <w:proofErr w:type="spellEnd"/>
      <w:r w:rsidRPr="00547EA5">
        <w:rPr>
          <w:rFonts w:ascii="Arial" w:eastAsia="Calibri" w:hAnsi="Arial" w:cs="Arial"/>
          <w:color w:val="000000"/>
        </w:rPr>
        <w:t xml:space="preserve"> zakazuje takiego opisu przedmiotu zamówienia, który mógłby utrudniać uczciwą konkurencję. Zamawiający powinien podczas dokonywania tego opisu wskazać tylko te jego cechy, które mają dla niego znaczenie kluczowe i istotnie są uzasadnione celem prowadzonego postępowania. Swoboda zamawiającego w precyzowaniu swoich wymagań ograniczona jest bowiem w tym sensie, że jego wymagania muszą mieć uzasadnienie pozwalające na zrównoważenie ograniczenia konkurencji. Prawo zamówień publicznych chroni bowiem z jednej strony interesy Zamawiającego (interes publiczny), z drugiej zaś nakazuje przestrzegać zasady równego traktowania potencjalnych wykonawców i uczciwej konkurencji. Formułując SIWZ, Zamawiający musi mieć więc na uwadze dobra chronione tą ustawą i zachować równowagę pomiędzy rozwiązaniami preferującymi poszczególne interesy (tak Sąd Okręgowy w Poznaniu w wyroku z dnia 11 sierpnia 2006 r., sygn. akt IX Ga 137/06).</w:t>
      </w:r>
    </w:p>
    <w:p w14:paraId="346FB4F8" w14:textId="764FC046" w:rsidR="00124312" w:rsidRPr="00547EA5" w:rsidRDefault="00124312" w:rsidP="00547EA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547EA5">
        <w:rPr>
          <w:rFonts w:eastAsia="Calibri"/>
          <w:sz w:val="22"/>
          <w:szCs w:val="22"/>
        </w:rPr>
        <w:t xml:space="preserve">Jednocześnie podkreślenia wymaga, że ustawodawca sankcjonuje samo już zagrożenie naruszenia uczciwej konkurencji i równego traktowania wykonawców przez opis przedmiotu zamówienia zastosowany przez zamawiającego, a co za tym idzie osłabia ciężar dowodowy, który obciążałby wykonawcę chcącego kwestionować z tego powodu czynności dokonane przez zamawiającego. Ponieważ art. 29 ust. 2 </w:t>
      </w:r>
      <w:proofErr w:type="spellStart"/>
      <w:r w:rsidRPr="00547EA5">
        <w:rPr>
          <w:rFonts w:eastAsia="Calibri"/>
          <w:sz w:val="22"/>
          <w:szCs w:val="22"/>
        </w:rPr>
        <w:t>p.z.p</w:t>
      </w:r>
      <w:proofErr w:type="spellEnd"/>
      <w:r w:rsidRPr="00547EA5">
        <w:rPr>
          <w:rFonts w:eastAsia="Calibri"/>
          <w:sz w:val="22"/>
          <w:szCs w:val="22"/>
        </w:rPr>
        <w:t xml:space="preserve">. posługuje się sformułowaniem „mógłby utrudniać uczciwą konkurencję” oznacza to, że na odwołującym ciąży jedynie obowiązek uprawdopodobnienia, że opis przedmiotu zamówienia może utrudniać uczciwą konkurencję, zaś </w:t>
      </w:r>
      <w:r w:rsidRPr="00547EA5">
        <w:rPr>
          <w:rFonts w:eastAsia="Calibri"/>
          <w:sz w:val="22"/>
          <w:szCs w:val="22"/>
        </w:rPr>
        <w:lastRenderedPageBreak/>
        <w:t xml:space="preserve">dowód na okoliczność, że do takiego utrudnienia nie doszło ciąży na Zamawiającym (tak w wyroku Krajowej Izby Odwoławczej z dnia 17 sierpnia 2012 r., sygn.. akt KIO 1630/12). Należy zauważyć, że art. 99 ust. 4 ustawy </w:t>
      </w:r>
      <w:proofErr w:type="spellStart"/>
      <w:r w:rsidRPr="00547EA5">
        <w:rPr>
          <w:rFonts w:eastAsia="Calibri"/>
          <w:sz w:val="22"/>
          <w:szCs w:val="22"/>
        </w:rPr>
        <w:t>Pzp</w:t>
      </w:r>
      <w:proofErr w:type="spellEnd"/>
      <w:r w:rsidRPr="00547EA5">
        <w:rPr>
          <w:rFonts w:eastAsia="Calibri"/>
          <w:sz w:val="22"/>
          <w:szCs w:val="22"/>
        </w:rPr>
        <w:t xml:space="preserve"> posługuje się tym samym sformułowaniem („mógłby utrudniać uczciwą konkurencję”), co art. 29 ust. 2 ustawy </w:t>
      </w:r>
      <w:proofErr w:type="spellStart"/>
      <w:r w:rsidRPr="00547EA5">
        <w:rPr>
          <w:rFonts w:eastAsia="Calibri"/>
          <w:sz w:val="22"/>
          <w:szCs w:val="22"/>
        </w:rPr>
        <w:t>Pzp</w:t>
      </w:r>
      <w:proofErr w:type="spellEnd"/>
      <w:r w:rsidRPr="00547EA5">
        <w:rPr>
          <w:rFonts w:eastAsia="Calibri"/>
          <w:sz w:val="22"/>
          <w:szCs w:val="22"/>
        </w:rPr>
        <w:t xml:space="preserve"> 2004. W związku z powyższym orzecznictwo Krajowej Izby Odwoławczej dotyczące tego przepisu należy uznać za aktualne. Opis przedmiotu zamówienia w Postępowaniu został dokonany z naruszeniem art. 99 ust. 4 ustawy </w:t>
      </w:r>
      <w:proofErr w:type="spellStart"/>
      <w:r w:rsidRPr="00547EA5">
        <w:rPr>
          <w:rFonts w:eastAsia="Calibri"/>
          <w:sz w:val="22"/>
          <w:szCs w:val="22"/>
        </w:rPr>
        <w:t>Pzp</w:t>
      </w:r>
      <w:proofErr w:type="spellEnd"/>
      <w:r w:rsidRPr="00547EA5">
        <w:rPr>
          <w:rFonts w:eastAsia="Calibri"/>
          <w:sz w:val="22"/>
          <w:szCs w:val="22"/>
        </w:rPr>
        <w:t xml:space="preserve">, ponieważ wymagania Zamawiającego preferują konkretnego producenta/wykonawcę oraz nie są obiektywnie uzasadnione. Powyższe uniemożliwia złożenie konkurencyjnej oferty przez </w:t>
      </w:r>
      <w:r w:rsidR="00547EA5">
        <w:rPr>
          <w:rFonts w:eastAsia="Calibri"/>
          <w:sz w:val="22"/>
          <w:szCs w:val="22"/>
        </w:rPr>
        <w:t>[</w:t>
      </w:r>
      <w:r w:rsidR="00547EA5" w:rsidRPr="00547EA5">
        <w:rPr>
          <w:rFonts w:eastAsia="Calibri"/>
          <w:b/>
          <w:sz w:val="22"/>
          <w:szCs w:val="22"/>
        </w:rPr>
        <w:t>usunięto nazwę wykonawcy</w:t>
      </w:r>
      <w:r w:rsidR="00547EA5">
        <w:rPr>
          <w:rFonts w:eastAsia="Calibri"/>
          <w:sz w:val="22"/>
          <w:szCs w:val="22"/>
        </w:rPr>
        <w:t>]</w:t>
      </w:r>
      <w:r w:rsidRPr="00547EA5">
        <w:rPr>
          <w:rFonts w:eastAsia="Calibri"/>
          <w:sz w:val="22"/>
          <w:szCs w:val="22"/>
        </w:rPr>
        <w:t xml:space="preserve"> i innych producentów/dostawców. Preferujące konkretnego wykonawcę parametry nie mają funkcjonalnego uzasadnienia, a pozostawienie tych rozwiązań nie będzie miało wpływu na potrzebne Zamawiającemu wartości użytkowe przedmiotu zamówienia, natomiast jedynym ich skutkiem będzie ograniczenie konkurencji. Jak wskazała Krajowa Izba Odwoławcza w wyroku z dnia 27.08.2020, KIO 1528/20: w piśmiennictwie formułowane są również poglądy, że nie jest dopuszczalne opisywanie przedmiotu zamówienia na podstawie katalogów jednego producenta, gdyż narusza to zasadę konkurencyjności i równego dostępu do zamówienia. Podkreśla się też, że określenie przedmiotu zamówienia w sposób, który wskazywałby na konkretnego producenta, nie stanowi naruszenia zasad uczciwej konkurencji tylko wówczas, jeżeli wynika </w:t>
      </w:r>
      <w:r w:rsidRPr="00547EA5">
        <w:rPr>
          <w:rFonts w:eastAsiaTheme="minorHAnsi"/>
          <w:i/>
          <w:iCs/>
          <w:sz w:val="22"/>
          <w:szCs w:val="22"/>
          <w:lang w:eastAsia="en-US"/>
        </w:rPr>
        <w:t>to z braku możliwości zrealizowania potrzeb zamawiającego przez inne podmioty. Wskazuje się również, że zakaz, o którym mowa w art. 29 ust. 2 ustawy zostanie naruszony, gdy przy opisie przedmiotu zamówienia zamawiający użyje oznaczeń czy parametrów wskazujących konkretnego producenta (dostawcę) lub konkretny produkt, działając w ten sposób wbrew zasadzie obiektywizmu i równego traktowania wszystkich podmiotów ubiegających się o zamówienie publiczne [zob. A. Panasiuk, A. Mikołajczyk, T. Siedlecki, Prawo zamówień publicznych z komentarzem, Oficyna Wydawnicza Branta, Bydgoszcz-Warszawa 2004, str. 97-98, Prawo zamówień publicznych. Komentarz pod red. T. Czajkowskiego, Urząd Zamówień Publicznych, Warszawa 2004, str. 112)</w:t>
      </w:r>
      <w:r w:rsidRPr="00547EA5">
        <w:rPr>
          <w:rFonts w:eastAsiaTheme="minorHAnsi"/>
          <w:sz w:val="22"/>
          <w:szCs w:val="22"/>
          <w:lang w:eastAsia="en-US"/>
        </w:rPr>
        <w:t xml:space="preserve">. </w:t>
      </w:r>
    </w:p>
    <w:p w14:paraId="6A5C80AE" w14:textId="3C7E644D" w:rsidR="00124312" w:rsidRPr="00547EA5" w:rsidRDefault="00124312" w:rsidP="00547EA5">
      <w:pPr>
        <w:spacing w:after="0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 xml:space="preserve">W związku z powyższym wnosimy, aby Zamawiający dopuścił jako urządzenia spełniające specyfikację rozwiązania </w:t>
      </w:r>
      <w:proofErr w:type="spellStart"/>
      <w:r w:rsidRPr="00547EA5">
        <w:rPr>
          <w:rFonts w:ascii="Arial" w:hAnsi="Arial" w:cs="Arial"/>
          <w:color w:val="000000"/>
        </w:rPr>
        <w:t>Palo</w:t>
      </w:r>
      <w:proofErr w:type="spellEnd"/>
      <w:r w:rsidRPr="00547EA5">
        <w:rPr>
          <w:rFonts w:ascii="Arial" w:hAnsi="Arial" w:cs="Arial"/>
          <w:color w:val="000000"/>
        </w:rPr>
        <w:t xml:space="preserve"> </w:t>
      </w:r>
      <w:proofErr w:type="spellStart"/>
      <w:r w:rsidRPr="00547EA5">
        <w:rPr>
          <w:rFonts w:ascii="Arial" w:hAnsi="Arial" w:cs="Arial"/>
          <w:color w:val="000000"/>
        </w:rPr>
        <w:t>Alto</w:t>
      </w:r>
      <w:proofErr w:type="spellEnd"/>
      <w:r w:rsidRPr="00547EA5">
        <w:rPr>
          <w:rFonts w:ascii="Arial" w:hAnsi="Arial" w:cs="Arial"/>
          <w:color w:val="000000"/>
        </w:rPr>
        <w:t xml:space="preserve"> Networks zaproponowane poniżej.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373"/>
        <w:gridCol w:w="2373"/>
      </w:tblGrid>
      <w:tr w:rsidR="00124312" w:rsidRPr="00547EA5" w14:paraId="00206205" w14:textId="77777777" w:rsidTr="00124312">
        <w:trPr>
          <w:trHeight w:val="121"/>
        </w:trPr>
        <w:tc>
          <w:tcPr>
            <w:tcW w:w="2373" w:type="dxa"/>
          </w:tcPr>
          <w:p w14:paraId="0829CD49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47EA5">
              <w:rPr>
                <w:rFonts w:ascii="Arial" w:hAnsi="Arial" w:cs="Arial"/>
                <w:color w:val="000000"/>
              </w:rPr>
              <w:t xml:space="preserve">Produkt </w:t>
            </w:r>
          </w:p>
        </w:tc>
        <w:tc>
          <w:tcPr>
            <w:tcW w:w="2373" w:type="dxa"/>
          </w:tcPr>
          <w:p w14:paraId="46B52802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47EA5">
              <w:rPr>
                <w:rFonts w:ascii="Arial" w:hAnsi="Arial" w:cs="Arial"/>
                <w:color w:val="000000"/>
              </w:rPr>
              <w:t xml:space="preserve">Producent </w:t>
            </w:r>
          </w:p>
        </w:tc>
        <w:tc>
          <w:tcPr>
            <w:tcW w:w="2373" w:type="dxa"/>
          </w:tcPr>
          <w:p w14:paraId="2ECCC14D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47EA5">
              <w:rPr>
                <w:rFonts w:ascii="Arial" w:hAnsi="Arial" w:cs="Arial"/>
                <w:color w:val="000000"/>
              </w:rPr>
              <w:t xml:space="preserve">Model/ PN </w:t>
            </w:r>
          </w:p>
        </w:tc>
      </w:tr>
      <w:tr w:rsidR="00124312" w:rsidRPr="00547EA5" w14:paraId="2E9F4B06" w14:textId="77777777" w:rsidTr="00124312">
        <w:trPr>
          <w:trHeight w:val="335"/>
        </w:trPr>
        <w:tc>
          <w:tcPr>
            <w:tcW w:w="2373" w:type="dxa"/>
          </w:tcPr>
          <w:p w14:paraId="755D1262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47EA5">
              <w:rPr>
                <w:rFonts w:ascii="Arial" w:hAnsi="Arial" w:cs="Arial"/>
                <w:color w:val="000000"/>
              </w:rPr>
              <w:t xml:space="preserve">Firewall </w:t>
            </w:r>
          </w:p>
        </w:tc>
        <w:tc>
          <w:tcPr>
            <w:tcW w:w="2373" w:type="dxa"/>
          </w:tcPr>
          <w:p w14:paraId="0E973F21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47EA5">
              <w:rPr>
                <w:rFonts w:ascii="Arial" w:hAnsi="Arial" w:cs="Arial"/>
                <w:color w:val="000000"/>
              </w:rPr>
              <w:t>Palo</w:t>
            </w:r>
            <w:proofErr w:type="spellEnd"/>
            <w:r w:rsidRPr="00547E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7EA5">
              <w:rPr>
                <w:rFonts w:ascii="Arial" w:hAnsi="Arial" w:cs="Arial"/>
                <w:color w:val="000000"/>
              </w:rPr>
              <w:t>Alto</w:t>
            </w:r>
            <w:proofErr w:type="spellEnd"/>
            <w:r w:rsidRPr="00547EA5">
              <w:rPr>
                <w:rFonts w:ascii="Arial" w:hAnsi="Arial" w:cs="Arial"/>
                <w:color w:val="000000"/>
              </w:rPr>
              <w:t xml:space="preserve"> Networks </w:t>
            </w:r>
          </w:p>
        </w:tc>
        <w:tc>
          <w:tcPr>
            <w:tcW w:w="2373" w:type="dxa"/>
          </w:tcPr>
          <w:p w14:paraId="5B5D8AB6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47EA5">
              <w:rPr>
                <w:rFonts w:ascii="Arial" w:hAnsi="Arial" w:cs="Arial"/>
                <w:color w:val="000000"/>
              </w:rPr>
              <w:t xml:space="preserve">PA-5250 </w:t>
            </w:r>
          </w:p>
        </w:tc>
      </w:tr>
      <w:tr w:rsidR="00124312" w:rsidRPr="00547EA5" w14:paraId="1708865E" w14:textId="77777777" w:rsidTr="00124312">
        <w:trPr>
          <w:trHeight w:val="335"/>
        </w:trPr>
        <w:tc>
          <w:tcPr>
            <w:tcW w:w="2373" w:type="dxa"/>
          </w:tcPr>
          <w:p w14:paraId="300DF607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47EA5">
              <w:rPr>
                <w:rFonts w:ascii="Arial" w:hAnsi="Arial" w:cs="Arial"/>
                <w:color w:val="000000"/>
              </w:rPr>
              <w:t>Sandbox</w:t>
            </w:r>
            <w:proofErr w:type="spellEnd"/>
            <w:r w:rsidRPr="00547E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73" w:type="dxa"/>
          </w:tcPr>
          <w:p w14:paraId="22A44402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47EA5">
              <w:rPr>
                <w:rFonts w:ascii="Arial" w:hAnsi="Arial" w:cs="Arial"/>
                <w:color w:val="000000"/>
              </w:rPr>
              <w:t>Palo</w:t>
            </w:r>
            <w:proofErr w:type="spellEnd"/>
            <w:r w:rsidRPr="00547E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7EA5">
              <w:rPr>
                <w:rFonts w:ascii="Arial" w:hAnsi="Arial" w:cs="Arial"/>
                <w:color w:val="000000"/>
              </w:rPr>
              <w:t>Alto</w:t>
            </w:r>
            <w:proofErr w:type="spellEnd"/>
            <w:r w:rsidRPr="00547EA5">
              <w:rPr>
                <w:rFonts w:ascii="Arial" w:hAnsi="Arial" w:cs="Arial"/>
                <w:color w:val="000000"/>
              </w:rPr>
              <w:t xml:space="preserve"> Networks </w:t>
            </w:r>
          </w:p>
        </w:tc>
        <w:tc>
          <w:tcPr>
            <w:tcW w:w="2373" w:type="dxa"/>
          </w:tcPr>
          <w:p w14:paraId="12D1D5EC" w14:textId="77777777" w:rsidR="00124312" w:rsidRPr="00547EA5" w:rsidRDefault="00124312" w:rsidP="00547EA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47EA5">
              <w:rPr>
                <w:rFonts w:ascii="Arial" w:hAnsi="Arial" w:cs="Arial"/>
                <w:color w:val="000000"/>
              </w:rPr>
              <w:t xml:space="preserve">WF-500 </w:t>
            </w:r>
          </w:p>
        </w:tc>
      </w:tr>
    </w:tbl>
    <w:p w14:paraId="57DAA3C4" w14:textId="08D0BBD1" w:rsidR="00124312" w:rsidRPr="00547EA5" w:rsidRDefault="00124312" w:rsidP="00547EA5">
      <w:pPr>
        <w:spacing w:after="0"/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>Zaznaczamy również, że proponowane rozwiązania według firmy analitycznej Gartner są zaliczane do liderów rynku w swojej klasie, co potwierdzają wykresy zamieszczone poniżej.</w:t>
      </w:r>
    </w:p>
    <w:p w14:paraId="79C98ACA" w14:textId="19D85A00" w:rsidR="00124312" w:rsidRPr="00547EA5" w:rsidRDefault="00124312" w:rsidP="00547EA5">
      <w:pPr>
        <w:spacing w:after="0"/>
        <w:jc w:val="both"/>
        <w:rPr>
          <w:rFonts w:ascii="Arial" w:hAnsi="Arial" w:cs="Arial"/>
        </w:rPr>
      </w:pPr>
      <w:r w:rsidRPr="00547EA5">
        <w:rPr>
          <w:rFonts w:ascii="Arial" w:hAnsi="Arial" w:cs="Arial"/>
        </w:rPr>
        <w:t>Liderzy w zakresie rozwiązań dla sieciowych Firewalli:</w:t>
      </w:r>
    </w:p>
    <w:p w14:paraId="110F0246" w14:textId="0924375F" w:rsidR="00B776DF" w:rsidRPr="00547EA5" w:rsidRDefault="00B776DF" w:rsidP="00547EA5">
      <w:pPr>
        <w:spacing w:after="0"/>
        <w:jc w:val="both"/>
        <w:rPr>
          <w:rFonts w:ascii="Arial" w:eastAsia="Calibri" w:hAnsi="Arial" w:cs="Arial"/>
          <w:color w:val="000000"/>
        </w:rPr>
      </w:pPr>
      <w:r w:rsidRPr="00547EA5">
        <w:rPr>
          <w:rFonts w:ascii="Arial" w:eastAsia="Calibri" w:hAnsi="Arial" w:cs="Arial"/>
          <w:noProof/>
          <w:color w:val="000000"/>
          <w:lang w:eastAsia="pl-PL"/>
        </w:rPr>
        <w:lastRenderedPageBreak/>
        <w:drawing>
          <wp:inline distT="0" distB="0" distL="0" distR="0" wp14:anchorId="44E33F8D" wp14:editId="17A86D7F">
            <wp:extent cx="5956935" cy="5919605"/>
            <wp:effectExtent l="0" t="0" r="571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5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E5E4" w14:textId="418F9E98" w:rsidR="00B776DF" w:rsidRPr="00547EA5" w:rsidRDefault="00B776DF" w:rsidP="00547EA5">
      <w:pPr>
        <w:jc w:val="both"/>
        <w:rPr>
          <w:rFonts w:ascii="Arial" w:eastAsia="Calibri" w:hAnsi="Arial" w:cs="Arial"/>
        </w:rPr>
      </w:pPr>
    </w:p>
    <w:p w14:paraId="0DC9ECAD" w14:textId="77777777" w:rsidR="00B776DF" w:rsidRPr="00547EA5" w:rsidRDefault="00B776DF" w:rsidP="00547EA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547EA5">
        <w:rPr>
          <w:sz w:val="22"/>
          <w:szCs w:val="22"/>
        </w:rPr>
        <w:t xml:space="preserve">Argumentując swoja prośbę o dopuszczenie urządzenia </w:t>
      </w:r>
      <w:proofErr w:type="spellStart"/>
      <w:r w:rsidRPr="00547EA5">
        <w:rPr>
          <w:sz w:val="22"/>
          <w:szCs w:val="22"/>
        </w:rPr>
        <w:t>Palo</w:t>
      </w:r>
      <w:proofErr w:type="spellEnd"/>
      <w:r w:rsidRPr="00547EA5">
        <w:rPr>
          <w:sz w:val="22"/>
          <w:szCs w:val="22"/>
        </w:rPr>
        <w:t xml:space="preserve"> </w:t>
      </w:r>
      <w:proofErr w:type="spellStart"/>
      <w:r w:rsidRPr="00547EA5">
        <w:rPr>
          <w:sz w:val="22"/>
          <w:szCs w:val="22"/>
        </w:rPr>
        <w:t>Alto</w:t>
      </w:r>
      <w:proofErr w:type="spellEnd"/>
      <w:r w:rsidRPr="00547EA5">
        <w:rPr>
          <w:sz w:val="22"/>
          <w:szCs w:val="22"/>
        </w:rPr>
        <w:t xml:space="preserve"> Networks PA-5250 chcielibyśmy zwrócić uwagę na fakt, iż sam producent firma </w:t>
      </w:r>
      <w:proofErr w:type="spellStart"/>
      <w:r w:rsidRPr="00547EA5">
        <w:rPr>
          <w:sz w:val="22"/>
          <w:szCs w:val="22"/>
        </w:rPr>
        <w:t>Fortinet</w:t>
      </w:r>
      <w:proofErr w:type="spellEnd"/>
      <w:r w:rsidRPr="00547EA5">
        <w:rPr>
          <w:sz w:val="22"/>
          <w:szCs w:val="22"/>
        </w:rPr>
        <w:t xml:space="preserve"> </w:t>
      </w:r>
      <w:r w:rsidRPr="00547EA5">
        <w:rPr>
          <w:rFonts w:eastAsiaTheme="minorHAnsi"/>
          <w:sz w:val="22"/>
          <w:szCs w:val="22"/>
          <w:lang w:eastAsia="en-US"/>
        </w:rPr>
        <w:t xml:space="preserve">wskazuje jako równoważne rozwiązanie do rozwiązania </w:t>
      </w:r>
      <w:proofErr w:type="spellStart"/>
      <w:r w:rsidRPr="00547EA5">
        <w:rPr>
          <w:rFonts w:eastAsiaTheme="minorHAnsi"/>
          <w:sz w:val="22"/>
          <w:szCs w:val="22"/>
          <w:lang w:eastAsia="en-US"/>
        </w:rPr>
        <w:t>Fortigate</w:t>
      </w:r>
      <w:proofErr w:type="spellEnd"/>
      <w:r w:rsidRPr="00547EA5">
        <w:rPr>
          <w:rFonts w:eastAsiaTheme="minorHAnsi"/>
          <w:sz w:val="22"/>
          <w:szCs w:val="22"/>
          <w:lang w:eastAsia="en-US"/>
        </w:rPr>
        <w:t xml:space="preserve"> 600E urządzenie PA-3260, natomiast wykonawca proponuje serię wyższą. </w:t>
      </w:r>
    </w:p>
    <w:p w14:paraId="574A16F7" w14:textId="1F28DA30" w:rsidR="00B776DF" w:rsidRPr="00547EA5" w:rsidRDefault="00B776DF" w:rsidP="00547EA5">
      <w:pPr>
        <w:jc w:val="both"/>
        <w:rPr>
          <w:rFonts w:ascii="Arial" w:eastAsia="Calibri" w:hAnsi="Arial" w:cs="Arial"/>
        </w:rPr>
      </w:pPr>
      <w:r w:rsidRPr="00547EA5">
        <w:rPr>
          <w:rFonts w:ascii="Arial" w:eastAsia="Calibri" w:hAnsi="Arial" w:cs="Arial"/>
          <w:noProof/>
          <w:lang w:eastAsia="pl-PL"/>
        </w:rPr>
        <w:lastRenderedPageBreak/>
        <w:drawing>
          <wp:inline distT="0" distB="0" distL="0" distR="0" wp14:anchorId="6F6FB4E7" wp14:editId="230E2962">
            <wp:extent cx="5956935" cy="3297244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329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43F1" w14:textId="505FD919" w:rsidR="00B776DF" w:rsidRPr="00547EA5" w:rsidRDefault="00B776DF" w:rsidP="00547EA5">
      <w:pPr>
        <w:jc w:val="both"/>
        <w:rPr>
          <w:rFonts w:ascii="Arial" w:eastAsia="Calibri" w:hAnsi="Arial" w:cs="Arial"/>
        </w:rPr>
      </w:pPr>
    </w:p>
    <w:p w14:paraId="56BEBF25" w14:textId="77777777" w:rsidR="00B776DF" w:rsidRPr="00547EA5" w:rsidRDefault="00B776DF" w:rsidP="00547EA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547EA5">
        <w:rPr>
          <w:rFonts w:eastAsia="Calibri"/>
          <w:sz w:val="22"/>
          <w:szCs w:val="22"/>
        </w:rPr>
        <w:tab/>
      </w:r>
      <w:r w:rsidRPr="00547EA5">
        <w:rPr>
          <w:rFonts w:eastAsiaTheme="minorHAnsi"/>
          <w:b/>
          <w:bCs/>
          <w:sz w:val="22"/>
          <w:szCs w:val="22"/>
          <w:lang w:eastAsia="en-US"/>
        </w:rPr>
        <w:t xml:space="preserve">https://www.fortinet.com/content/dam/fortinet/assets/competitive-guide/web-600E-comparison-table.pdf </w:t>
      </w:r>
    </w:p>
    <w:p w14:paraId="081865FB" w14:textId="6EB7E068" w:rsidR="00B776DF" w:rsidRDefault="00B776DF" w:rsidP="00547EA5">
      <w:pPr>
        <w:tabs>
          <w:tab w:val="left" w:pos="2417"/>
        </w:tabs>
        <w:jc w:val="both"/>
        <w:rPr>
          <w:rFonts w:ascii="Arial" w:hAnsi="Arial" w:cs="Arial"/>
          <w:color w:val="000000"/>
        </w:rPr>
      </w:pPr>
      <w:r w:rsidRPr="00547EA5">
        <w:rPr>
          <w:rFonts w:ascii="Arial" w:hAnsi="Arial" w:cs="Arial"/>
          <w:color w:val="000000"/>
        </w:rPr>
        <w:t>Podsumowując, w świetle przedstawionej argumentacji nie może budzić wątpliwości, że pozostawienie obecnego brzmienia treści SIWZ będzie stanowiło naruszenie zasady uczciwej konkurencji. Prosimy o wprowadzenie stosownych zmian i dopuszczenie do postępowania większej liczby, również klasowych producentów rozwiązań bezpieczeństwa Firewall. Poprzez takie działanie Zamawiający podniesie konkurencyjność postępowania co może się przełożyć na uzyskanie korzystniejszej ceny co leży również w interesie zamówień publicznych.</w:t>
      </w:r>
    </w:p>
    <w:p w14:paraId="6CCEC909" w14:textId="416C8052" w:rsidR="00402B6F" w:rsidRPr="00100455" w:rsidRDefault="00547EA5" w:rsidP="00402B6F">
      <w:pPr>
        <w:spacing w:after="0" w:line="240" w:lineRule="auto"/>
        <w:jc w:val="both"/>
        <w:rPr>
          <w:rFonts w:ascii="Arial" w:hAnsi="Arial" w:cs="Arial"/>
        </w:rPr>
      </w:pPr>
      <w:r w:rsidRPr="00547EA5">
        <w:rPr>
          <w:rFonts w:ascii="Arial" w:hAnsi="Arial" w:cs="Arial"/>
          <w:b/>
          <w:color w:val="000000"/>
        </w:rPr>
        <w:t>Odpowiedź zamawiającego:</w:t>
      </w:r>
      <w:r w:rsidR="00402B6F" w:rsidRPr="00402B6F">
        <w:rPr>
          <w:rFonts w:ascii="Arial" w:hAnsi="Arial" w:cs="Arial"/>
          <w:b/>
        </w:rPr>
        <w:t xml:space="preserve"> </w:t>
      </w:r>
      <w:r w:rsidR="00402B6F" w:rsidRPr="00100455">
        <w:rPr>
          <w:rFonts w:ascii="Arial" w:hAnsi="Arial" w:cs="Arial"/>
        </w:rPr>
        <w:t>Zamawiający podtrzymuje wymagania zawarte w Specyfikacji Warunków Zamówienia (SWZ).</w:t>
      </w:r>
    </w:p>
    <w:p w14:paraId="54033EC7" w14:textId="77777777" w:rsidR="00402B6F" w:rsidRPr="00100455" w:rsidRDefault="00402B6F" w:rsidP="00402B6F">
      <w:pPr>
        <w:spacing w:after="0" w:line="240" w:lineRule="auto"/>
        <w:jc w:val="both"/>
        <w:rPr>
          <w:rFonts w:ascii="Arial" w:hAnsi="Arial" w:cs="Arial"/>
        </w:rPr>
      </w:pPr>
    </w:p>
    <w:p w14:paraId="1B8C3056" w14:textId="66DCBC42" w:rsidR="00402B6F" w:rsidRPr="00100455" w:rsidRDefault="00402B6F" w:rsidP="00402B6F">
      <w:pPr>
        <w:spacing w:after="0" w:line="240" w:lineRule="auto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Zgodnie z wiedzą Zamawiającego </w:t>
      </w:r>
      <w:r w:rsidR="00100455" w:rsidRPr="00100455">
        <w:rPr>
          <w:rFonts w:ascii="Arial" w:hAnsi="Arial" w:cs="Arial"/>
        </w:rPr>
        <w:t xml:space="preserve">oraz informacjami zebranymi podczas ustalania szacunkowej wartości zamówienia a także </w:t>
      </w:r>
      <w:r w:rsidRPr="00100455">
        <w:rPr>
          <w:rFonts w:ascii="Arial" w:hAnsi="Arial" w:cs="Arial"/>
        </w:rPr>
        <w:t xml:space="preserve"> dokonaną modyfikacją zapisów SWZ w odpowiedzi na pytanie nr 1 co najmniej trzech producentów oferuje urządzenia spełniające wymagania SWZ. Ponadto liczba potencjalnych wykonawców mogących brać udział w postępowaniu jest większa ponieważ producenci </w:t>
      </w:r>
      <w:r w:rsidR="00100455" w:rsidRPr="00100455">
        <w:rPr>
          <w:rFonts w:ascii="Arial" w:hAnsi="Arial" w:cs="Arial"/>
        </w:rPr>
        <w:t xml:space="preserve">w większości </w:t>
      </w:r>
      <w:r w:rsidRPr="00100455">
        <w:rPr>
          <w:rFonts w:ascii="Arial" w:hAnsi="Arial" w:cs="Arial"/>
        </w:rPr>
        <w:t>nie sprzedają bezpośrednio swoich rozwiązań a oferują je poprzez sieć dystrybutorów.</w:t>
      </w:r>
    </w:p>
    <w:p w14:paraId="6C271720" w14:textId="77777777" w:rsidR="00402B6F" w:rsidRPr="00100455" w:rsidRDefault="00402B6F" w:rsidP="00402B6F">
      <w:pPr>
        <w:spacing w:after="0" w:line="240" w:lineRule="auto"/>
        <w:jc w:val="both"/>
        <w:rPr>
          <w:rFonts w:ascii="Arial" w:hAnsi="Arial" w:cs="Arial"/>
        </w:rPr>
      </w:pPr>
    </w:p>
    <w:p w14:paraId="32AF1632" w14:textId="77777777" w:rsidR="00402B6F" w:rsidRPr="00100455" w:rsidRDefault="00402B6F" w:rsidP="00402B6F">
      <w:pPr>
        <w:spacing w:after="0" w:line="240" w:lineRule="auto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Przedmiot zamówienia jest opisany w sposób jednoznaczny i dostateczny. Zamawiający nie wskazuje konkretnego producenta czy dostawcy, gdyż podaje minimalne wymagania, jakie ma spełniać przedmiot zamówienia, co w konsekwencji prowadzi do otrzymania przedmiotu zamówienia zgodnie z oczekiwaniami Zamawiającego. </w:t>
      </w:r>
    </w:p>
    <w:p w14:paraId="01F3417A" w14:textId="77777777" w:rsidR="00402B6F" w:rsidRPr="00100455" w:rsidRDefault="00402B6F" w:rsidP="00402B6F">
      <w:pPr>
        <w:spacing w:after="0" w:line="240" w:lineRule="auto"/>
        <w:jc w:val="both"/>
        <w:rPr>
          <w:rFonts w:ascii="Arial" w:hAnsi="Arial" w:cs="Arial"/>
        </w:rPr>
      </w:pPr>
    </w:p>
    <w:p w14:paraId="6C239978" w14:textId="77777777" w:rsidR="00402B6F" w:rsidRPr="00100455" w:rsidRDefault="00402B6F" w:rsidP="00402B6F">
      <w:pPr>
        <w:spacing w:after="0" w:line="240" w:lineRule="auto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Należy przy tym zauważyć, że określenie przedmiotu zamówienia jest zarazem obowiązkiem jak i uprawnieniem Zamawiającego. Jego określenie w sposób obiektywny, z zachowaniem zasad ustawowych, nie jest jednoznaczne z koniecznością zdolności realizacji zamówienia przez wszystkie podmioty działające na rynku w danej branży. Powyższe potwierdza orzecznictwo Krajowej Izby Odwoławczej, m.in. wyrok KIO z dnia 17 stycznia 2008 r., sygn. akt KIO/UZP 80/07, w którym "Izba stwierdziła, że Zamawiający ma prawo opisać swoje potrzeby w taki sposób, aby przedmiot zamówienia spełniał jego wymagania i zaspokajał potrzeby, pod warunkiem, że dokonany opis nie narusza konkurencji ani równego traktowania wykonawców. </w:t>
      </w:r>
      <w:r w:rsidRPr="00100455">
        <w:rPr>
          <w:rFonts w:ascii="Arial" w:hAnsi="Arial" w:cs="Arial"/>
        </w:rPr>
        <w:lastRenderedPageBreak/>
        <w:t xml:space="preserve">Sama okoliczność, że opis przedmiotu zamówienia uniemożliwia złożenie oferty przez Odwołującego nie wskazuje na naruszenie podstawowych zasad udzielania zamówień publicznych, skoro na rynku działają podmioty mogące brać udział w postępowaniu samodzielnie lub w ramach konsorcjum, czemu Odwołujący nie zaprzeczył” (UZP, Zamówienia publiczne w orzecznictwie, zeszyt orzeczniczy nr 1, Warszawa 2008, s. 35). Podobnie KIO w wyroku z dnia 9 października 2008 r., sygn. akt KIO/UZP 1024/08 „Zamawiający, działając w granicach określonych przepisami prawa, ma prawo sprecyzować przedmiot zamówienia o określonych minimalnych standardach jakościowych i technicznych. Okoliczność o charakterze notoryjnym, że nie wszyscy wykonawcy dysponują produktem spełniającym wymagania Zamawiającego opisane w </w:t>
      </w:r>
      <w:proofErr w:type="spellStart"/>
      <w:r w:rsidRPr="00100455">
        <w:rPr>
          <w:rFonts w:ascii="Arial" w:hAnsi="Arial" w:cs="Arial"/>
        </w:rPr>
        <w:t>siwz</w:t>
      </w:r>
      <w:proofErr w:type="spellEnd"/>
      <w:r w:rsidRPr="00100455">
        <w:rPr>
          <w:rFonts w:ascii="Arial" w:hAnsi="Arial" w:cs="Arial"/>
        </w:rPr>
        <w:t xml:space="preserve"> i mogą go zaoferować oraz, że wymagania techniczne są trudne do spełnienia przez niektórych wykonawców, nie oznacza, że postępowanie o udzielenie zamówienia publicznego jest prowadzone w sposób utrudniający zachowanie uczciwej konkurencji (UZP, Zamówienia publiczne w orzecznictwie, zeszyt orzeczniczy nr 3, Warszawa 2009, s. 40). „Zamawiający ma prawo wymagać, aby przedmiot zamówienia był zrealizowany w jakości wyższej, niż standardowa, lub o podwyższony parametrach, o ile jest w stanie swoje wymagania usprawiedliwić obiektywnymi okolicznościami” (wyrok KIO z dnia 2 kwietnia 2008 r., sygn. akt KIO/UZP 236/08, UZP, Zamówienia publiczne w orzecznictwie, zeszyt orzeczniczy nr 1, Warszawa 2008, s.40). W wyroku Krajowej Izby Odwoławczej z 13 września 2009 r. (sygn. akt. KIO/UZP 239/09) słusznie wskazano: "(...) obowiązkiem zamawiającego jest określenie w </w:t>
      </w:r>
      <w:proofErr w:type="spellStart"/>
      <w:r w:rsidRPr="00100455">
        <w:rPr>
          <w:rFonts w:ascii="Arial" w:hAnsi="Arial" w:cs="Arial"/>
        </w:rPr>
        <w:t>siwz</w:t>
      </w:r>
      <w:proofErr w:type="spellEnd"/>
      <w:r w:rsidRPr="00100455">
        <w:rPr>
          <w:rFonts w:ascii="Arial" w:hAnsi="Arial" w:cs="Arial"/>
        </w:rPr>
        <w:t xml:space="preserve"> opisu przedmiotu zamówienia w sposób obiektywny, z zachowaniem przepisów Prawa zamówień publicznych określających sposób opisu przedmiotu zamówienia, jak również zasad uczciwej konkurencji oraz równego traktowania wykonawców. Nie oznacza to jednak wymogu określenia przedmiotu zamówienia w sposób, który umożliwi złożenie ofert przez wszystkie podmioty działające w danej branży. Podkreślić należy, że to zamawiający określa przedmiot zamówienia.(...)."</w:t>
      </w:r>
    </w:p>
    <w:p w14:paraId="2CC37A9F" w14:textId="77777777" w:rsidR="00402B6F" w:rsidRDefault="00402B6F" w:rsidP="00402B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9025CD" w14:textId="3F397395" w:rsidR="00547EA5" w:rsidRPr="00547EA5" w:rsidRDefault="00547EA5" w:rsidP="00547EA5">
      <w:pPr>
        <w:tabs>
          <w:tab w:val="left" w:pos="2417"/>
        </w:tabs>
        <w:jc w:val="both"/>
        <w:rPr>
          <w:rFonts w:ascii="Arial" w:eastAsia="Calibri" w:hAnsi="Arial" w:cs="Arial"/>
          <w:b/>
        </w:rPr>
      </w:pPr>
    </w:p>
    <w:sectPr w:rsidR="00547EA5" w:rsidRPr="00547EA5" w:rsidSect="00C849E5">
      <w:footerReference w:type="default" r:id="rId11"/>
      <w:headerReference w:type="first" r:id="rId12"/>
      <w:footerReference w:type="first" r:id="rId13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5D1D" w14:textId="77777777" w:rsidR="004912F4" w:rsidRDefault="004912F4" w:rsidP="00C849E5">
      <w:pPr>
        <w:spacing w:after="0" w:line="240" w:lineRule="auto"/>
      </w:pPr>
      <w:r>
        <w:separator/>
      </w:r>
    </w:p>
  </w:endnote>
  <w:endnote w:type="continuationSeparator" w:id="0">
    <w:p w14:paraId="6E5E1C3B" w14:textId="77777777" w:rsidR="004912F4" w:rsidRDefault="004912F4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92A9" w14:textId="77777777" w:rsidR="004912F4" w:rsidRDefault="004912F4" w:rsidP="00C849E5">
      <w:pPr>
        <w:spacing w:after="0" w:line="240" w:lineRule="auto"/>
      </w:pPr>
      <w:r>
        <w:separator/>
      </w:r>
    </w:p>
  </w:footnote>
  <w:footnote w:type="continuationSeparator" w:id="0">
    <w:p w14:paraId="59D2565E" w14:textId="77777777" w:rsidR="004912F4" w:rsidRDefault="004912F4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66D5136"/>
    <w:multiLevelType w:val="hybridMultilevel"/>
    <w:tmpl w:val="5312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9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26"/>
  </w:num>
  <w:num w:numId="5">
    <w:abstractNumId w:val="2"/>
  </w:num>
  <w:num w:numId="6">
    <w:abstractNumId w:val="5"/>
  </w:num>
  <w:num w:numId="7">
    <w:abstractNumId w:val="7"/>
  </w:num>
  <w:num w:numId="8">
    <w:abstractNumId w:val="36"/>
  </w:num>
  <w:num w:numId="9">
    <w:abstractNumId w:val="4"/>
  </w:num>
  <w:num w:numId="10">
    <w:abstractNumId w:val="30"/>
  </w:num>
  <w:num w:numId="11">
    <w:abstractNumId w:val="13"/>
  </w:num>
  <w:num w:numId="12">
    <w:abstractNumId w:val="34"/>
  </w:num>
  <w:num w:numId="13">
    <w:abstractNumId w:val="22"/>
  </w:num>
  <w:num w:numId="14">
    <w:abstractNumId w:val="19"/>
  </w:num>
  <w:num w:numId="15">
    <w:abstractNumId w:val="39"/>
  </w:num>
  <w:num w:numId="16">
    <w:abstractNumId w:val="8"/>
  </w:num>
  <w:num w:numId="17">
    <w:abstractNumId w:val="29"/>
  </w:num>
  <w:num w:numId="18">
    <w:abstractNumId w:val="10"/>
  </w:num>
  <w:num w:numId="19">
    <w:abstractNumId w:val="24"/>
  </w:num>
  <w:num w:numId="20">
    <w:abstractNumId w:val="6"/>
  </w:num>
  <w:num w:numId="21">
    <w:abstractNumId w:val="18"/>
  </w:num>
  <w:num w:numId="22">
    <w:abstractNumId w:val="35"/>
  </w:num>
  <w:num w:numId="23">
    <w:abstractNumId w:val="21"/>
  </w:num>
  <w:num w:numId="24">
    <w:abstractNumId w:val="1"/>
  </w:num>
  <w:num w:numId="25">
    <w:abstractNumId w:val="28"/>
  </w:num>
  <w:num w:numId="26">
    <w:abstractNumId w:val="23"/>
  </w:num>
  <w:num w:numId="27">
    <w:abstractNumId w:val="9"/>
  </w:num>
  <w:num w:numId="28">
    <w:abstractNumId w:val="16"/>
  </w:num>
  <w:num w:numId="29">
    <w:abstractNumId w:val="11"/>
  </w:num>
  <w:num w:numId="30">
    <w:abstractNumId w:val="40"/>
  </w:num>
  <w:num w:numId="31">
    <w:abstractNumId w:val="38"/>
  </w:num>
  <w:num w:numId="32">
    <w:abstractNumId w:val="15"/>
  </w:num>
  <w:num w:numId="33">
    <w:abstractNumId w:val="0"/>
  </w:num>
  <w:num w:numId="34">
    <w:abstractNumId w:val="37"/>
  </w:num>
  <w:num w:numId="35">
    <w:abstractNumId w:val="31"/>
  </w:num>
  <w:num w:numId="36">
    <w:abstractNumId w:val="25"/>
  </w:num>
  <w:num w:numId="37">
    <w:abstractNumId w:val="33"/>
  </w:num>
  <w:num w:numId="38">
    <w:abstractNumId w:val="27"/>
  </w:num>
  <w:num w:numId="39">
    <w:abstractNumId w:val="20"/>
  </w:num>
  <w:num w:numId="40">
    <w:abstractNumId w:val="3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71A7D"/>
    <w:rsid w:val="00071E30"/>
    <w:rsid w:val="00072E7B"/>
    <w:rsid w:val="0007541C"/>
    <w:rsid w:val="000766FA"/>
    <w:rsid w:val="00076988"/>
    <w:rsid w:val="0008019E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00455"/>
    <w:rsid w:val="001127B6"/>
    <w:rsid w:val="00121A2F"/>
    <w:rsid w:val="00124312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A4A5A"/>
    <w:rsid w:val="001C061D"/>
    <w:rsid w:val="001C066D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69F6"/>
    <w:rsid w:val="002578A6"/>
    <w:rsid w:val="00263D81"/>
    <w:rsid w:val="00272B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66E3"/>
    <w:rsid w:val="003B7125"/>
    <w:rsid w:val="003C6A38"/>
    <w:rsid w:val="003C6D24"/>
    <w:rsid w:val="003D1F9F"/>
    <w:rsid w:val="003F11D2"/>
    <w:rsid w:val="003F1FAB"/>
    <w:rsid w:val="003F242C"/>
    <w:rsid w:val="003F29DA"/>
    <w:rsid w:val="003F2A4B"/>
    <w:rsid w:val="003F5539"/>
    <w:rsid w:val="00400EF0"/>
    <w:rsid w:val="00402B6F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12F4"/>
    <w:rsid w:val="00492C20"/>
    <w:rsid w:val="00497FE8"/>
    <w:rsid w:val="004B2E0A"/>
    <w:rsid w:val="004B4E4B"/>
    <w:rsid w:val="004C3D60"/>
    <w:rsid w:val="004D3FE4"/>
    <w:rsid w:val="004D4F2A"/>
    <w:rsid w:val="004D5124"/>
    <w:rsid w:val="004D5CF0"/>
    <w:rsid w:val="004E03C4"/>
    <w:rsid w:val="004E4E1B"/>
    <w:rsid w:val="00506A3A"/>
    <w:rsid w:val="00506C8D"/>
    <w:rsid w:val="0050799C"/>
    <w:rsid w:val="0052505C"/>
    <w:rsid w:val="0052514E"/>
    <w:rsid w:val="00532E30"/>
    <w:rsid w:val="00532EC0"/>
    <w:rsid w:val="00540491"/>
    <w:rsid w:val="00547EA5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873"/>
    <w:rsid w:val="008172D6"/>
    <w:rsid w:val="00817D19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A16A7"/>
    <w:rsid w:val="008A341F"/>
    <w:rsid w:val="008B1F8D"/>
    <w:rsid w:val="008B4AFF"/>
    <w:rsid w:val="008C2C35"/>
    <w:rsid w:val="008D40B6"/>
    <w:rsid w:val="008E11DF"/>
    <w:rsid w:val="008E3ECD"/>
    <w:rsid w:val="008F53D8"/>
    <w:rsid w:val="0090139E"/>
    <w:rsid w:val="00915678"/>
    <w:rsid w:val="0091620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E4E45"/>
    <w:rsid w:val="00AF6142"/>
    <w:rsid w:val="00B04B69"/>
    <w:rsid w:val="00B136B1"/>
    <w:rsid w:val="00B21BC6"/>
    <w:rsid w:val="00B22592"/>
    <w:rsid w:val="00B3718B"/>
    <w:rsid w:val="00B4185C"/>
    <w:rsid w:val="00B4462A"/>
    <w:rsid w:val="00B44AED"/>
    <w:rsid w:val="00B6490E"/>
    <w:rsid w:val="00B65757"/>
    <w:rsid w:val="00B71007"/>
    <w:rsid w:val="00B776DF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1CA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82799"/>
    <w:rsid w:val="00E8436B"/>
    <w:rsid w:val="00E87E0D"/>
    <w:rsid w:val="00E91280"/>
    <w:rsid w:val="00EA00E2"/>
    <w:rsid w:val="00EA1066"/>
    <w:rsid w:val="00EA1EC4"/>
    <w:rsid w:val="00EA37C4"/>
    <w:rsid w:val="00EA703C"/>
    <w:rsid w:val="00EB2C0E"/>
    <w:rsid w:val="00EB5243"/>
    <w:rsid w:val="00EC0065"/>
    <w:rsid w:val="00ED0C5B"/>
    <w:rsid w:val="00ED1855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A6B"/>
    <w:rsid w:val="00F9460E"/>
    <w:rsid w:val="00FA13AC"/>
    <w:rsid w:val="00FB3674"/>
    <w:rsid w:val="00FB54E2"/>
    <w:rsid w:val="00FB690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CE94-792C-43D5-A155-957B49D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66</cp:revision>
  <cp:lastPrinted>2021-03-08T11:14:00Z</cp:lastPrinted>
  <dcterms:created xsi:type="dcterms:W3CDTF">2021-02-25T14:16:00Z</dcterms:created>
  <dcterms:modified xsi:type="dcterms:W3CDTF">2021-06-16T09:12:00Z</dcterms:modified>
</cp:coreProperties>
</file>