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47C00" w14:textId="357D747B" w:rsidR="0057067C" w:rsidRPr="004030C4" w:rsidRDefault="005B1B37">
      <w:pPr>
        <w:rPr>
          <w:rFonts w:ascii="Lato" w:hAnsi="Lato"/>
          <w:sz w:val="20"/>
          <w:szCs w:val="20"/>
        </w:rPr>
      </w:pPr>
      <w:r w:rsidRPr="004030C4">
        <w:rPr>
          <w:rFonts w:ascii="Lato" w:hAnsi="Lato"/>
          <w:sz w:val="20"/>
          <w:szCs w:val="20"/>
        </w:rPr>
        <w:t>Opis przedmiotu zamówienia: Zakup serwera wraz z biblioteką taśmową.</w:t>
      </w:r>
    </w:p>
    <w:p w14:paraId="4418A4F0" w14:textId="3D10EE2C" w:rsidR="005B1B37" w:rsidRPr="004030C4" w:rsidRDefault="005B1B37">
      <w:pPr>
        <w:rPr>
          <w:rFonts w:ascii="Lato" w:hAnsi="Lato"/>
          <w:sz w:val="20"/>
          <w:szCs w:val="20"/>
        </w:rPr>
      </w:pPr>
      <w:r w:rsidRPr="004030C4">
        <w:rPr>
          <w:rFonts w:ascii="Lato" w:hAnsi="Lato"/>
          <w:sz w:val="20"/>
          <w:szCs w:val="20"/>
        </w:rPr>
        <w:t>Urządzenia powinny być tego samego producenta, z serwisem świadczonym na takich samych warunkach dla obu urządzeń.</w:t>
      </w:r>
    </w:p>
    <w:p w14:paraId="591FEE85" w14:textId="7D4424B9" w:rsidR="005B1B37" w:rsidRPr="004030C4" w:rsidRDefault="005B1B37">
      <w:pPr>
        <w:rPr>
          <w:rFonts w:ascii="Lato" w:hAnsi="Lato"/>
          <w:sz w:val="20"/>
          <w:szCs w:val="20"/>
        </w:rPr>
      </w:pPr>
      <w:r w:rsidRPr="004030C4">
        <w:rPr>
          <w:rFonts w:ascii="Lato" w:hAnsi="Lato"/>
          <w:sz w:val="20"/>
          <w:szCs w:val="20"/>
        </w:rPr>
        <w:t>Specyfikacja techniczna według poniższej tabeli:</w:t>
      </w:r>
    </w:p>
    <w:p w14:paraId="0A523CCF" w14:textId="2E49DEE6" w:rsidR="005B1B37" w:rsidRPr="004030C4" w:rsidRDefault="005B1B37">
      <w:pPr>
        <w:rPr>
          <w:rFonts w:ascii="Lato" w:hAnsi="Lato"/>
          <w:sz w:val="20"/>
          <w:szCs w:val="20"/>
        </w:rPr>
      </w:pPr>
      <w:r w:rsidRPr="004030C4">
        <w:rPr>
          <w:rFonts w:ascii="Lato" w:hAnsi="Lato"/>
          <w:sz w:val="20"/>
          <w:szCs w:val="20"/>
        </w:rPr>
        <w:t>Dla biblioteki taśmowej: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7458"/>
      </w:tblGrid>
      <w:tr w:rsidR="005B1B37" w:rsidRPr="004030C4" w14:paraId="00894C30" w14:textId="77777777" w:rsidTr="005B1B37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4C6F6" w14:textId="34A8C5B6" w:rsidR="005B1B37" w:rsidRPr="004030C4" w:rsidRDefault="005B1B37" w:rsidP="005B1B37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1849D" w14:textId="5B43EDD0" w:rsidR="005B1B37" w:rsidRPr="004030C4" w:rsidRDefault="005B1B37" w:rsidP="005B1B37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5B1B37" w:rsidRPr="004030C4" w14:paraId="5E705EE1" w14:textId="77777777" w:rsidTr="005B1B37">
        <w:trPr>
          <w:trHeight w:val="57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C760D" w14:textId="77777777" w:rsidR="005B1B37" w:rsidRPr="004030C4" w:rsidRDefault="005B1B37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b/>
                <w:bCs/>
                <w:sz w:val="20"/>
                <w:szCs w:val="20"/>
                <w:lang w:eastAsia="pl-PL"/>
              </w:rPr>
              <w:t>Obudowa i pojemność</w:t>
            </w: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9956E" w14:textId="0ED12FBA" w:rsidR="005B1B37" w:rsidRPr="004030C4" w:rsidRDefault="004030C4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Wysokość</w:t>
            </w:r>
            <w:r w:rsidR="005B1B37"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 maksymalnie 1U do instalacji w szafie </w:t>
            </w:r>
            <w:proofErr w:type="spellStart"/>
            <w:r w:rsidR="005B1B37"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Rack</w:t>
            </w:r>
            <w:proofErr w:type="spellEnd"/>
            <w:r w:rsidR="005B1B37"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. </w:t>
            </w:r>
          </w:p>
          <w:p w14:paraId="193697F5" w14:textId="77777777" w:rsidR="005B1B37" w:rsidRPr="004030C4" w:rsidRDefault="005B1B37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Co najmniej 9 slotów przeznaczonych na zestaw taśm. </w:t>
            </w:r>
          </w:p>
        </w:tc>
      </w:tr>
      <w:tr w:rsidR="005B1B37" w:rsidRPr="004030C4" w14:paraId="4B15E3BD" w14:textId="77777777" w:rsidTr="005B1B37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4C584" w14:textId="77777777" w:rsidR="005B1B37" w:rsidRPr="004030C4" w:rsidRDefault="005B1B37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b/>
                <w:bCs/>
                <w:sz w:val="20"/>
                <w:szCs w:val="20"/>
                <w:lang w:eastAsia="pl-PL"/>
              </w:rPr>
              <w:t>Połączenie</w:t>
            </w: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A2263" w14:textId="77777777" w:rsidR="005B1B37" w:rsidRPr="004030C4" w:rsidRDefault="005B1B37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Co najmniej 1 port SAS o przepustowości co najmniej 6Gb/s w standardzie umożliwiającym podłączenie serwerów.  </w:t>
            </w:r>
          </w:p>
        </w:tc>
      </w:tr>
      <w:tr w:rsidR="005B1B37" w:rsidRPr="004030C4" w14:paraId="6BCA0EE5" w14:textId="77777777" w:rsidTr="005B1B37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EB735" w14:textId="77777777" w:rsidR="005B1B37" w:rsidRPr="004030C4" w:rsidRDefault="005B1B37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b/>
                <w:bCs/>
                <w:sz w:val="20"/>
                <w:szCs w:val="20"/>
                <w:lang w:eastAsia="pl-PL"/>
              </w:rPr>
              <w:t>Napęd</w:t>
            </w: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7352A" w14:textId="77777777" w:rsidR="005B1B37" w:rsidRPr="004030C4" w:rsidRDefault="005B1B37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Wyposażony w co najmniej 1 sztukę napędu SAS LTO 9. </w:t>
            </w:r>
          </w:p>
          <w:p w14:paraId="369F359E" w14:textId="77777777" w:rsidR="005B1B37" w:rsidRPr="004030C4" w:rsidRDefault="005B1B37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W komplecie:</w:t>
            </w:r>
          </w:p>
          <w:p w14:paraId="14D8D26E" w14:textId="08618ED6" w:rsidR="005B1B37" w:rsidRPr="004030C4" w:rsidRDefault="005B1B37" w:rsidP="00525CFA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Kabel SAS umożliwiający podłączenie biblioteki do serwera o dł. min. 2m </w:t>
            </w:r>
          </w:p>
          <w:p w14:paraId="56AF247B" w14:textId="77777777" w:rsidR="005B1B37" w:rsidRPr="004030C4" w:rsidRDefault="005B1B37" w:rsidP="00525CFA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1 taśma czyszcząca</w:t>
            </w:r>
          </w:p>
          <w:p w14:paraId="5D0D8C3E" w14:textId="4919F4A8" w:rsidR="005B1B37" w:rsidRPr="004030C4" w:rsidRDefault="0090567B" w:rsidP="00525CFA">
            <w:pPr>
              <w:pStyle w:val="Akapitzlist"/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 xml:space="preserve">2 </w:t>
            </w:r>
            <w:r w:rsidR="005B1B37"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Zestaw</w:t>
            </w:r>
            <w:r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y</w:t>
            </w:r>
            <w:r w:rsidR="005B1B37"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 xml:space="preserve"> taśm</w:t>
            </w:r>
          </w:p>
        </w:tc>
      </w:tr>
      <w:tr w:rsidR="005B1B37" w:rsidRPr="004030C4" w14:paraId="4E40C3B9" w14:textId="77777777" w:rsidTr="005B1B37"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A685E" w14:textId="77777777" w:rsidR="005B1B37" w:rsidRPr="004030C4" w:rsidRDefault="005B1B37" w:rsidP="00525CFA">
            <w:pPr>
              <w:spacing w:line="240" w:lineRule="auto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b/>
                <w:bCs/>
                <w:sz w:val="20"/>
                <w:szCs w:val="20"/>
                <w:lang w:eastAsia="pl-PL"/>
              </w:rPr>
              <w:t>Gwarancja</w:t>
            </w: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2BDAF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3 lata gwarancji producenta</w:t>
            </w:r>
          </w:p>
          <w:p w14:paraId="69E3ACC0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5E673B35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  </w:t>
            </w:r>
          </w:p>
          <w:p w14:paraId="39574AF4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64E33F4A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 xml:space="preserve">Zamawiający wymaga pojedynczego punktu kontaktu dla całego rozwiązania producenta, w tym także sprzedanego oprogramowania. </w:t>
            </w:r>
          </w:p>
          <w:p w14:paraId="7CFFF31D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021E9BB2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 xml:space="preserve">Zamawiający oczekuje możliwości samodzielnego kwalifikowania poziomu ważności naprawy. </w:t>
            </w:r>
          </w:p>
          <w:p w14:paraId="6B47AE63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mikrokodu</w:t>
            </w:r>
            <w:proofErr w:type="spellEnd"/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 xml:space="preserve"> oraz sterowników nawet w przypadku wygaśnięcia gwarancji urządzenia.</w:t>
            </w:r>
          </w:p>
          <w:p w14:paraId="37FA0B0C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Automatyczną diagnostykę i zdalne otwieranie zgłoszeń serwisowych.</w:t>
            </w:r>
          </w:p>
          <w:p w14:paraId="0E869850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  <w:p w14:paraId="5C8DFD71" w14:textId="77777777" w:rsidR="005B1B37" w:rsidRPr="004030C4" w:rsidRDefault="005B1B37" w:rsidP="00525CFA">
            <w:pPr>
              <w:spacing w:line="240" w:lineRule="auto"/>
              <w:ind w:left="360"/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pl-PL"/>
              </w:rPr>
            </w:pPr>
            <w:r w:rsidRPr="004030C4">
              <w:rPr>
                <w:rFonts w:ascii="Lato" w:eastAsia="Times New Roman" w:hAnsi="Lato" w:cs="Segoe UI"/>
                <w:sz w:val="20"/>
                <w:szCs w:val="20"/>
                <w:lang w:eastAsia="pl-PL"/>
              </w:rPr>
              <w:lastRenderedPageBreak/>
              <w:t>Wymagane dołączenie do oferty oświadczenia Producenta potwierdzając, że Serwis urządzeń będzie realizowany bezpośrednio przez Producenta i/lub we współpracy z Autoryzowanym Partnerem Serwisowym Producenta. </w:t>
            </w:r>
          </w:p>
        </w:tc>
      </w:tr>
    </w:tbl>
    <w:p w14:paraId="00C25733" w14:textId="77777777" w:rsidR="005B1B37" w:rsidRPr="004030C4" w:rsidRDefault="005B1B37">
      <w:pPr>
        <w:rPr>
          <w:rFonts w:ascii="Lato" w:hAnsi="Lato"/>
        </w:rPr>
      </w:pPr>
    </w:p>
    <w:p w14:paraId="2D21D837" w14:textId="2640E9C5" w:rsidR="005B1B37" w:rsidRPr="004030C4" w:rsidRDefault="005B1B37">
      <w:pPr>
        <w:rPr>
          <w:rFonts w:ascii="Lato" w:hAnsi="Lato"/>
        </w:rPr>
      </w:pPr>
      <w:r w:rsidRPr="004030C4">
        <w:rPr>
          <w:rFonts w:ascii="Lato" w:hAnsi="Lato"/>
        </w:rPr>
        <w:t>Dla serwera:</w:t>
      </w:r>
    </w:p>
    <w:tbl>
      <w:tblPr>
        <w:tblW w:w="0" w:type="auto"/>
        <w:tblInd w:w="-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229"/>
      </w:tblGrid>
      <w:tr w:rsidR="005B1B37" w:rsidRPr="004030C4" w14:paraId="5D2181E3" w14:textId="77777777" w:rsidTr="005B1B3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785BD" w14:textId="50799E62" w:rsidR="005B1B37" w:rsidRPr="004030C4" w:rsidRDefault="005B1B37" w:rsidP="00525CFA">
            <w:pPr>
              <w:jc w:val="center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24A19" w14:textId="289446B0" w:rsidR="005B1B37" w:rsidRPr="004030C4" w:rsidRDefault="005B1B37" w:rsidP="00525CFA">
            <w:pPr>
              <w:jc w:val="center"/>
              <w:rPr>
                <w:rFonts w:ascii="Lato" w:hAnsi="Lato" w:cstheme="minorHAnsi"/>
                <w:b/>
                <w:bCs/>
                <w:i/>
                <w:iCs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t>Wymagania minimalne</w:t>
            </w:r>
          </w:p>
        </w:tc>
      </w:tr>
      <w:tr w:rsidR="005B1B37" w:rsidRPr="004030C4" w14:paraId="631A2511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0D560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6C401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 o wysokości max 1U z możliwością instalacji 4 dysków 3.5” </w:t>
            </w:r>
          </w:p>
        </w:tc>
      </w:tr>
      <w:tr w:rsidR="005B1B37" w:rsidRPr="004030C4" w14:paraId="5952C88F" w14:textId="77777777" w:rsidTr="00525CFA">
        <w:trPr>
          <w:trHeight w:val="4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CDAAF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2E5FC9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Płyta główna z możliwością zainstalowania jednego procesora. Płyta główna musi być zaprojektowana przez producenta serwera i oznaczona jego znakiem firmowym. </w:t>
            </w:r>
          </w:p>
          <w:p w14:paraId="1B1D97BC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Płyta powinna obsługiwać do min. 128GB, na płycie głównej powinno znajdować się minimum 4 </w:t>
            </w:r>
            <w:proofErr w:type="spellStart"/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sloty</w:t>
            </w:r>
            <w:proofErr w:type="spellEnd"/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 przeznaczone dla pamięci</w:t>
            </w:r>
          </w:p>
        </w:tc>
      </w:tr>
      <w:tr w:rsidR="005B1B37" w:rsidRPr="004030C4" w14:paraId="4EC136C7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4F7CE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37C38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Dedykowany przez producenta procesora do pracy w serwerach </w:t>
            </w:r>
            <w:r w:rsidRPr="004030C4">
              <w:rPr>
                <w:rFonts w:ascii="Lato" w:eastAsia="Times New Roman" w:hAnsi="Lato" w:cstheme="minorHAnsi"/>
                <w:sz w:val="20"/>
                <w:szCs w:val="20"/>
              </w:rPr>
              <w:t>jedno</w:t>
            </w: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procesorowych</w:t>
            </w:r>
          </w:p>
        </w:tc>
      </w:tr>
      <w:tr w:rsidR="005B1B37" w:rsidRPr="004030C4" w14:paraId="64704200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F403D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305D19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Jeden procesor 4-rdzeniowy, min. 3.4GHz, </w:t>
            </w:r>
            <w:r w:rsidRPr="004030C4">
              <w:rPr>
                <w:rFonts w:ascii="Lato" w:hAnsi="Lato" w:cstheme="minorHAnsi"/>
                <w:sz w:val="20"/>
                <w:szCs w:val="20"/>
              </w:rPr>
              <w:t>umożliwiający osiągnięcie wyniku min. 50.8 w teście SPECrate2017_int_base dostępnym na stronie www.spec.org w konfiguracji jednoprocesorowej.</w:t>
            </w:r>
          </w:p>
        </w:tc>
      </w:tr>
      <w:tr w:rsidR="005B1B37" w:rsidRPr="004030C4" w14:paraId="61660ED4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0E380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475BF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2x16GB pamięci RAM DDR5 UDIMM o częstotliwości pracy 4800MT/s.</w:t>
            </w:r>
          </w:p>
        </w:tc>
      </w:tr>
      <w:tr w:rsidR="005B1B37" w:rsidRPr="004030C4" w14:paraId="6970967E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3D12E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8C9658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Zintegrowana karta graficzna umożliwiająca rozdzielczość min. 1920x1200</w:t>
            </w:r>
          </w:p>
        </w:tc>
      </w:tr>
      <w:tr w:rsidR="005B1B37" w:rsidRPr="004030C4" w14:paraId="6A42ED60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A4887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Wbudowane porty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D13F8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min. 4 porty USB w tym 1 port USB 3.0 z tyłu obudowy, </w:t>
            </w:r>
          </w:p>
          <w:p w14:paraId="79840262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1 port VGA na tylnym panelu, </w:t>
            </w:r>
          </w:p>
          <w:p w14:paraId="585C5C04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1 port RS232</w:t>
            </w:r>
          </w:p>
        </w:tc>
      </w:tr>
      <w:tr w:rsidR="005B1B37" w:rsidRPr="004030C4" w14:paraId="5452E3D9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9799B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Interfejsy sieciowe/FC/SAS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B0135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/>
                <w:sz w:val="20"/>
                <w:szCs w:val="20"/>
              </w:rPr>
              <w:t xml:space="preserve">Wbudowane min. </w:t>
            </w: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2 interfejsy sieciowe 1Gb Ethernet w standardzie </w:t>
            </w:r>
            <w:proofErr w:type="spellStart"/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BaseT</w:t>
            </w:r>
            <w:proofErr w:type="spellEnd"/>
          </w:p>
          <w:p w14:paraId="22CA1630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/>
                <w:sz w:val="20"/>
                <w:szCs w:val="20"/>
              </w:rPr>
              <w:t xml:space="preserve">Dodatkowa, dwuportowa karta 10Gb Ethernet </w:t>
            </w:r>
            <w:proofErr w:type="spellStart"/>
            <w:r w:rsidRPr="004030C4">
              <w:rPr>
                <w:rFonts w:ascii="Lato" w:hAnsi="Lato"/>
                <w:sz w:val="20"/>
                <w:szCs w:val="20"/>
              </w:rPr>
              <w:t>BaseT</w:t>
            </w:r>
            <w:proofErr w:type="spellEnd"/>
          </w:p>
          <w:p w14:paraId="3DC1F14D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Dodatkowa, czteroportowa karta 12Gb SAS HBA</w:t>
            </w:r>
          </w:p>
        </w:tc>
      </w:tr>
      <w:tr w:rsidR="005B1B37" w:rsidRPr="004030C4" w14:paraId="5E3D0DBF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BE39C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hAnsi="Lato"/>
                <w:b/>
                <w:sz w:val="20"/>
                <w:szCs w:val="20"/>
              </w:rPr>
              <w:t>Kontroler RAID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7A119" w14:textId="77777777" w:rsidR="005B1B37" w:rsidRPr="004030C4" w:rsidRDefault="005B1B37" w:rsidP="005B1B37">
            <w:pPr>
              <w:pStyle w:val="Akapitzlist"/>
              <w:numPr>
                <w:ilvl w:val="0"/>
                <w:numId w:val="9"/>
              </w:numPr>
              <w:spacing w:after="0" w:line="252" w:lineRule="auto"/>
              <w:jc w:val="both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Sprzętowy kontroler dyskowy, posiadający</w:t>
            </w:r>
          </w:p>
          <w:p w14:paraId="48CC3C95" w14:textId="77777777" w:rsidR="005B1B37" w:rsidRPr="004030C4" w:rsidRDefault="005B1B37" w:rsidP="005B1B37">
            <w:pPr>
              <w:pStyle w:val="Akapitzlist"/>
              <w:numPr>
                <w:ilvl w:val="1"/>
                <w:numId w:val="8"/>
              </w:numPr>
              <w:spacing w:after="0" w:line="252" w:lineRule="auto"/>
              <w:jc w:val="both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Możliwość konfiguracji poziomów RAID: 0, 1, 10, </w:t>
            </w:r>
          </w:p>
        </w:tc>
      </w:tr>
      <w:tr w:rsidR="005B1B37" w:rsidRPr="004030C4" w14:paraId="698D4394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54E9F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Dyski twarde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61BBA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rPr>
                <w:rFonts w:ascii="Lato" w:hAnsi="Lato" w:cstheme="minorHAnsi"/>
                <w:sz w:val="20"/>
                <w:szCs w:val="20"/>
                <w:lang w:val="de-DE"/>
              </w:rPr>
            </w:pPr>
            <w:proofErr w:type="spellStart"/>
            <w:r w:rsidRPr="004030C4">
              <w:rPr>
                <w:rFonts w:ascii="Lato" w:hAnsi="Lato" w:cstheme="minorHAnsi"/>
                <w:sz w:val="20"/>
                <w:szCs w:val="20"/>
                <w:lang w:val="de-DE"/>
              </w:rPr>
              <w:t>Zainstalowane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  <w:lang w:val="de-DE"/>
              </w:rPr>
              <w:t xml:space="preserve"> 4 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  <w:lang w:val="de-DE"/>
              </w:rPr>
              <w:t>dyski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  <w:lang w:val="de-DE"/>
              </w:rPr>
              <w:t xml:space="preserve"> SATA o 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  <w:lang w:val="de-DE"/>
              </w:rPr>
              <w:t>pojemności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  <w:lang w:val="de-DE"/>
              </w:rPr>
              <w:t xml:space="preserve"> min. 12TB, 6Gb, Hot-Plug.</w:t>
            </w:r>
          </w:p>
          <w:p w14:paraId="5EC292F9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rPr>
                <w:rFonts w:ascii="Lato" w:hAnsi="Lato" w:cstheme="minorHAnsi"/>
                <w:sz w:val="20"/>
                <w:szCs w:val="20"/>
                <w:lang w:val="de-DE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Zainstalowane dwa dyski M.2 SATA o pojemności min. 480GB Hot-Plug z możliwością konfiguracji RAID 1.</w:t>
            </w:r>
          </w:p>
        </w:tc>
      </w:tr>
      <w:tr w:rsidR="005B1B37" w:rsidRPr="004030C4" w14:paraId="023E8A87" w14:textId="77777777" w:rsidTr="00525CF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67EE5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sz w:val="20"/>
                <w:szCs w:val="20"/>
              </w:rPr>
              <w:t>Diagnostyka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F1A3D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4030C4">
              <w:rPr>
                <w:rFonts w:ascii="Lato" w:hAnsi="Lato" w:cstheme="minorHAnsi"/>
                <w:bCs/>
                <w:sz w:val="20"/>
                <w:szCs w:val="20"/>
              </w:rPr>
              <w:t>BIOS’u</w:t>
            </w:r>
            <w:proofErr w:type="spellEnd"/>
            <w:r w:rsidRPr="004030C4">
              <w:rPr>
                <w:rFonts w:ascii="Lato" w:hAnsi="Lato" w:cstheme="minorHAnsi"/>
                <w:bCs/>
                <w:sz w:val="20"/>
                <w:szCs w:val="20"/>
              </w:rPr>
              <w:t>, zasilaniu oraz temperaturze.</w:t>
            </w:r>
          </w:p>
        </w:tc>
      </w:tr>
      <w:tr w:rsidR="005B1B37" w:rsidRPr="004030C4" w14:paraId="086C6A63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513E4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Wentylatory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8EA2C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Minimum 3 wentylatory</w:t>
            </w:r>
          </w:p>
        </w:tc>
      </w:tr>
      <w:tr w:rsidR="005B1B37" w:rsidRPr="004030C4" w14:paraId="7621DD2B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A079F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  <w:t>Zasilacze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32651" w14:textId="77777777" w:rsidR="005B1B37" w:rsidRPr="004030C4" w:rsidRDefault="005B1B37" w:rsidP="005B1B37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Redundantne, o mocy maks. 700W.</w:t>
            </w:r>
          </w:p>
        </w:tc>
      </w:tr>
      <w:tr w:rsidR="005B1B37" w:rsidRPr="004030C4" w14:paraId="12E7D9CE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C278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t>Bezpieczeństwo</w:t>
            </w:r>
            <w:r w:rsidRPr="004030C4">
              <w:rPr>
                <w:rFonts w:ascii="Lato" w:hAnsi="Lato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73534" w14:textId="77777777" w:rsidR="005B1B37" w:rsidRPr="004030C4" w:rsidRDefault="005B1B37" w:rsidP="005B1B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panela</w:t>
            </w:r>
            <w:proofErr w:type="spellEnd"/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14:paraId="58F11442" w14:textId="77777777" w:rsidR="005B1B37" w:rsidRPr="004030C4" w:rsidRDefault="005B1B37" w:rsidP="005B1B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33A3184C" w14:textId="77777777" w:rsidR="005B1B37" w:rsidRPr="004030C4" w:rsidRDefault="005B1B37" w:rsidP="005B1B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Moduł TPM 2.0 </w:t>
            </w:r>
          </w:p>
        </w:tc>
      </w:tr>
      <w:tr w:rsidR="005B1B37" w:rsidRPr="004030C4" w14:paraId="5D404406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B5E2B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lastRenderedPageBreak/>
              <w:t>Elementy montażowe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88983" w14:textId="77777777" w:rsidR="005B1B37" w:rsidRPr="004030C4" w:rsidRDefault="005B1B37" w:rsidP="005B1B37">
            <w:pPr>
              <w:pStyle w:val="Default"/>
              <w:numPr>
                <w:ilvl w:val="0"/>
                <w:numId w:val="4"/>
              </w:numPr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Lato" w:hAnsi="Lato" w:cstheme="minorHAnsi"/>
                <w:sz w:val="20"/>
                <w:szCs w:val="20"/>
                <w:lang w:val="pl-PL"/>
              </w:rPr>
            </w:pPr>
            <w:r w:rsidRPr="004030C4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Komplet wysuwanych szyn umożliwiających montaż w szafie 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  <w:lang w:val="pl-PL"/>
              </w:rPr>
              <w:t>rack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  <w:lang w:val="pl-PL"/>
              </w:rPr>
              <w:t xml:space="preserve"> i wysuwanie serwera do celów serwisowych</w:t>
            </w:r>
          </w:p>
        </w:tc>
      </w:tr>
      <w:tr w:rsidR="005B1B37" w:rsidRPr="004030C4" w14:paraId="3BBD777B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E876E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sz w:val="20"/>
                <w:szCs w:val="20"/>
              </w:rPr>
              <w:t>Diagnostyka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E33FE" w14:textId="77777777" w:rsidR="005B1B37" w:rsidRPr="004030C4" w:rsidRDefault="005B1B37" w:rsidP="005B1B37">
            <w:pPr>
              <w:pStyle w:val="Akapitzlist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4030C4">
              <w:rPr>
                <w:rFonts w:ascii="Lato" w:hAnsi="Lato" w:cstheme="minorHAnsi"/>
                <w:bCs/>
                <w:sz w:val="20"/>
                <w:szCs w:val="20"/>
              </w:rPr>
              <w:t>BIOS’u</w:t>
            </w:r>
            <w:proofErr w:type="spellEnd"/>
            <w:r w:rsidRPr="004030C4">
              <w:rPr>
                <w:rFonts w:ascii="Lato" w:hAnsi="Lato" w:cstheme="minorHAnsi"/>
                <w:bCs/>
                <w:sz w:val="20"/>
                <w:szCs w:val="20"/>
              </w:rPr>
              <w:t>, zasilaniu oraz temperaturze.</w:t>
            </w:r>
          </w:p>
        </w:tc>
      </w:tr>
      <w:tr w:rsidR="005B1B37" w:rsidRPr="004030C4" w14:paraId="307CBA8E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D8C36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sz w:val="20"/>
                <w:szCs w:val="20"/>
              </w:rPr>
              <w:t>System operacyjny/dodatkowe oprogramowanie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8EE5A" w14:textId="77777777" w:rsidR="005B1B37" w:rsidRPr="004030C4" w:rsidRDefault="005B1B37" w:rsidP="005B1B37">
            <w:pPr>
              <w:pStyle w:val="Akapitzlist"/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Lato" w:hAnsi="Lato" w:cstheme="minorHAnsi"/>
                <w:bCs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Cs/>
                <w:sz w:val="20"/>
                <w:szCs w:val="20"/>
              </w:rPr>
              <w:t>Windows Server 2022 Standard</w:t>
            </w:r>
          </w:p>
        </w:tc>
      </w:tr>
      <w:tr w:rsidR="005B1B37" w:rsidRPr="004030C4" w14:paraId="0DC37D66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D947B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603AE" w14:textId="77777777" w:rsidR="005B1B37" w:rsidRPr="004030C4" w:rsidRDefault="005B1B37" w:rsidP="00525CFA">
            <w:pPr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31C8119D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 xml:space="preserve">zdalny dostęp do graficznego interfejsu Web karty zarządzającej; </w:t>
            </w:r>
          </w:p>
          <w:p w14:paraId="635880FC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  <w:lang w:val="en-US"/>
              </w:rPr>
            </w:pPr>
            <w:proofErr w:type="spellStart"/>
            <w:r w:rsidRPr="004030C4">
              <w:rPr>
                <w:rFonts w:ascii="Lato" w:hAnsi="Lato"/>
                <w:sz w:val="20"/>
                <w:lang w:val="en-US"/>
              </w:rPr>
              <w:t>wsparcie</w:t>
            </w:r>
            <w:proofErr w:type="spellEnd"/>
            <w:r w:rsidRPr="004030C4">
              <w:rPr>
                <w:rFonts w:ascii="Lato" w:hAnsi="Lato"/>
                <w:sz w:val="20"/>
                <w:lang w:val="en-US"/>
              </w:rPr>
              <w:t xml:space="preserve"> </w:t>
            </w:r>
            <w:proofErr w:type="spellStart"/>
            <w:r w:rsidRPr="004030C4">
              <w:rPr>
                <w:rFonts w:ascii="Lato" w:hAnsi="Lato"/>
                <w:sz w:val="20"/>
                <w:lang w:val="en-US"/>
              </w:rPr>
              <w:t>dla</w:t>
            </w:r>
            <w:proofErr w:type="spellEnd"/>
            <w:r w:rsidRPr="004030C4">
              <w:rPr>
                <w:rFonts w:ascii="Lato" w:hAnsi="Lato"/>
                <w:sz w:val="20"/>
                <w:lang w:val="en-US"/>
              </w:rPr>
              <w:t xml:space="preserve"> WSMAN (Web Service for Management); SNMP; IPMI2.0, SSH, Redfish; </w:t>
            </w:r>
          </w:p>
          <w:p w14:paraId="5559324A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możliwość bezpośredniego zarządzania poprzez dedykowany port USB na przednim panelu serwera</w:t>
            </w:r>
          </w:p>
          <w:p w14:paraId="59EB2C8E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zdalne monitorowanie i informowanie o statusie serwera (m.in. prędkości obrotowej wentylatorów, konfiguracji serwera);</w:t>
            </w:r>
          </w:p>
          <w:p w14:paraId="2E191E1A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szyfrowane SSL</w:t>
            </w:r>
          </w:p>
          <w:p w14:paraId="14A48F1C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wsparcie dla IPv6;</w:t>
            </w:r>
          </w:p>
          <w:p w14:paraId="0812D97A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możliwość zdalnego monitorowania w czasie rzeczywistym poboru prądu przez serwer;</w:t>
            </w:r>
          </w:p>
          <w:p w14:paraId="562DC88E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integracja z Active Directory;</w:t>
            </w:r>
          </w:p>
          <w:p w14:paraId="3573C202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 xml:space="preserve">wsparcie dla </w:t>
            </w:r>
            <w:proofErr w:type="spellStart"/>
            <w:r w:rsidRPr="004030C4">
              <w:rPr>
                <w:rFonts w:ascii="Lato" w:hAnsi="Lato"/>
                <w:sz w:val="20"/>
              </w:rPr>
              <w:t>dynamic</w:t>
            </w:r>
            <w:proofErr w:type="spellEnd"/>
            <w:r w:rsidRPr="004030C4">
              <w:rPr>
                <w:rFonts w:ascii="Lato" w:hAnsi="Lato"/>
                <w:sz w:val="20"/>
              </w:rPr>
              <w:t xml:space="preserve"> DNS;</w:t>
            </w:r>
          </w:p>
          <w:p w14:paraId="34E69913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wysyłanie do administratora maila z powiadomieniem o awarii lub zmianie konfiguracji sprzętowej.</w:t>
            </w:r>
          </w:p>
          <w:p w14:paraId="0D8B3949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możliwość zarządzania do 100 serwerów bezpośrednio z konsoli karty zarządzającej pojedynczego serwera</w:t>
            </w:r>
          </w:p>
          <w:p w14:paraId="31214EA8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możliwość obsługi przez sześciu użytkowników jednocześnie;</w:t>
            </w:r>
          </w:p>
          <w:p w14:paraId="65D35227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możliwość podmontowania zdalnych wirtualnych napędów;</w:t>
            </w:r>
          </w:p>
          <w:p w14:paraId="77039B2D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wirtualną konsolę z dostępem do myszy, klawiatury;</w:t>
            </w:r>
          </w:p>
          <w:p w14:paraId="6064F499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możliwość zdalnego ustawienia limitu poboru prądu przez konkretny serwer;</w:t>
            </w:r>
          </w:p>
          <w:p w14:paraId="1C08771D" w14:textId="77777777" w:rsidR="005B1B37" w:rsidRPr="004030C4" w:rsidRDefault="005B1B37" w:rsidP="00525CFA">
            <w:pPr>
              <w:spacing w:after="0"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oraz z możliwością rozszerzenia funkcjonalności o:</w:t>
            </w:r>
          </w:p>
          <w:p w14:paraId="0BCE4BBC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Wirtualny schowek ułatwiający korzystanie z konsoli zdalnej</w:t>
            </w:r>
          </w:p>
          <w:p w14:paraId="043C279E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Przesyłanie danych telemetrycznych w czasie rzeczywistym</w:t>
            </w:r>
          </w:p>
          <w:p w14:paraId="12C89458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Dostosowanie zarządzania temperaturą i przepływem powietrza w serwerze</w:t>
            </w:r>
          </w:p>
          <w:p w14:paraId="33EFB36F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="Lato" w:hAnsi="Lato"/>
                <w:sz w:val="20"/>
              </w:rPr>
            </w:pPr>
            <w:r w:rsidRPr="004030C4">
              <w:rPr>
                <w:rFonts w:ascii="Lato" w:hAnsi="Lato"/>
                <w:sz w:val="20"/>
              </w:rPr>
              <w:t>Automatyczna rejestracja certyfikatów (ACE)</w:t>
            </w:r>
          </w:p>
        </w:tc>
      </w:tr>
      <w:tr w:rsidR="005B1B37" w:rsidRPr="004030C4" w14:paraId="06ED3925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E5DE4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hAnsi="Lato" w:cstheme="minorHAnsi"/>
                <w:b/>
                <w:bCs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t>Oprogramowanie do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4B144" w14:textId="77777777" w:rsidR="005B1B37" w:rsidRPr="004030C4" w:rsidRDefault="005B1B37" w:rsidP="00525CFA">
            <w:p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Możliwość zainstalowania oprogramowania producenta do zarządzania, spełniającego poniższe wymagania: </w:t>
            </w:r>
          </w:p>
          <w:p w14:paraId="6F217BCE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Wsparcie dla serwerów, urządzeń sieciowych oraz pamięci masowych </w:t>
            </w:r>
          </w:p>
          <w:p w14:paraId="729782A5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integracja z Active Directory </w:t>
            </w:r>
          </w:p>
          <w:p w14:paraId="397BFB0A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zarządzania dostarczonymi serwerami bez udziału dedykowanego agenta </w:t>
            </w:r>
          </w:p>
          <w:p w14:paraId="645A754A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Wsparcie dla protokołów SNMP, IPMI, Linux SSH, 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</w:rPr>
              <w:t>Redfish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</w:rPr>
              <w:t> </w:t>
            </w:r>
          </w:p>
          <w:p w14:paraId="7D527CBC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uruchamiania procesu wykrywania urządzeń w oparciu o harmonogram </w:t>
            </w:r>
          </w:p>
          <w:p w14:paraId="608824DE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Szczegółowy opis wykrytych systemów oraz ich komponentów </w:t>
            </w:r>
          </w:p>
          <w:p w14:paraId="61FB3A21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eksportu raportu do CSV, HTML, XLS, PDF </w:t>
            </w:r>
          </w:p>
          <w:p w14:paraId="7DF1E9E3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lastRenderedPageBreak/>
              <w:t>Możliwość tworzenia własnych raportów w oparciu o wszystkie informacje zawarte w inwentarzu. </w:t>
            </w:r>
          </w:p>
          <w:p w14:paraId="44A6AADE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Grupowanie urządzeń w oparciu o kryteria użytkownika </w:t>
            </w:r>
          </w:p>
          <w:p w14:paraId="48F5D4CC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</w:rPr>
              <w:t>PCIe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</w:rPr>
              <w:t>, pozostałego czasu gwarancji </w:t>
            </w:r>
          </w:p>
          <w:p w14:paraId="19F18142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uruchamiania narzędzi zarządzających w poszczególnych urządzeniach </w:t>
            </w:r>
          </w:p>
          <w:p w14:paraId="60F89113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Szybki podgląd stanu środowiska </w:t>
            </w:r>
          </w:p>
          <w:p w14:paraId="3AE26669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Podsumowanie stanu dla każdego urządzenia </w:t>
            </w:r>
          </w:p>
          <w:p w14:paraId="1A7FA230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Szczegółowy status urządzenia/elementu/komponentu </w:t>
            </w:r>
          </w:p>
          <w:p w14:paraId="2D7DCF53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Generowanie alertów przy zmianie stanu urządzenia. </w:t>
            </w:r>
          </w:p>
          <w:p w14:paraId="4E876C5B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Filtry raportów umożliwiające podgląd najważniejszych zdarzeń </w:t>
            </w:r>
          </w:p>
          <w:p w14:paraId="3C54CAA8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Integracja z service 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</w:rPr>
              <w:t>desk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</w:rPr>
              <w:t xml:space="preserve"> producenta dostarczonej platformy sprzętowej </w:t>
            </w:r>
          </w:p>
          <w:p w14:paraId="1BEF6294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przejęcia zdalnego pulpitu </w:t>
            </w:r>
          </w:p>
          <w:p w14:paraId="49A58F8C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podmontowania wirtualnego napędu </w:t>
            </w:r>
          </w:p>
          <w:p w14:paraId="6F80C825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Kreator umożliwiający dostosowanie akcji dla wybranych alertów </w:t>
            </w:r>
          </w:p>
          <w:p w14:paraId="3A8B2EED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Możliwość importu plików MIB </w:t>
            </w:r>
          </w:p>
          <w:p w14:paraId="0893FAC4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Przesyłanie alertów „as-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</w:rPr>
              <w:t>is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</w:rPr>
              <w:t>” do innych konsol firm trzecich </w:t>
            </w:r>
          </w:p>
          <w:p w14:paraId="3007DB50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definiowania ról administratorów </w:t>
            </w:r>
          </w:p>
          <w:p w14:paraId="3875690D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zdalnej aktualizacji oprogramowania wewnętrznego serwerów </w:t>
            </w:r>
          </w:p>
          <w:p w14:paraId="0B4BDB29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Aktualizacja oparta o wybranie źródła bibliotek (lokalna, on-line producenta oferowanego rozwiązania) </w:t>
            </w:r>
          </w:p>
          <w:p w14:paraId="782379A6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instalacji oprogramowania wewnętrznego bez potrzeby instalacji agenta </w:t>
            </w:r>
          </w:p>
          <w:p w14:paraId="03FED9A2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automatycznego generowania i zgłaszania incydentów awarii bezpośrednio do centrum serwisowego producenta serwerów </w:t>
            </w:r>
          </w:p>
          <w:p w14:paraId="62EFC6EF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serwera. </w:t>
            </w:r>
          </w:p>
          <w:p w14:paraId="23AFA9AD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Możliwość tworzenia sprzętowej konfiguracji bazowej i na jej podstawie weryfikacji środowiska w celu wykrycia rozbieżności. </w:t>
            </w:r>
          </w:p>
          <w:p w14:paraId="250D0613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Wdrażanie serwerów, rozwiązań modularnych oraz przełączników sieciowych w oparciu o profile </w:t>
            </w:r>
          </w:p>
          <w:p w14:paraId="7FAED187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70A924F2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23FB5053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>Zdalne uruchamianie diagnostyki serwera. </w:t>
            </w:r>
          </w:p>
          <w:p w14:paraId="7B455618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14:paraId="2E04BDAC" w14:textId="77777777" w:rsidR="005B1B37" w:rsidRPr="004030C4" w:rsidRDefault="005B1B37" w:rsidP="005B1B37">
            <w:pPr>
              <w:pStyle w:val="Akapitzlist"/>
              <w:numPr>
                <w:ilvl w:val="0"/>
                <w:numId w:val="2"/>
              </w:numPr>
              <w:rPr>
                <w:rFonts w:ascii="Lato" w:hAnsi="Lato" w:cstheme="minorHAnsi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sz w:val="20"/>
                <w:szCs w:val="20"/>
              </w:rPr>
              <w:t xml:space="preserve">Oprogramowanie dostarczane jako wirtualny 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</w:rPr>
              <w:t>appliance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</w:rPr>
              <w:t xml:space="preserve"> dla KVM, </w:t>
            </w:r>
            <w:proofErr w:type="spellStart"/>
            <w:r w:rsidRPr="004030C4">
              <w:rPr>
                <w:rFonts w:ascii="Lato" w:hAnsi="Lato" w:cstheme="minorHAnsi"/>
                <w:sz w:val="20"/>
                <w:szCs w:val="20"/>
              </w:rPr>
              <w:t>ESXi</w:t>
            </w:r>
            <w:proofErr w:type="spellEnd"/>
            <w:r w:rsidRPr="004030C4">
              <w:rPr>
                <w:rFonts w:ascii="Lato" w:hAnsi="Lato" w:cstheme="minorHAnsi"/>
                <w:sz w:val="20"/>
                <w:szCs w:val="20"/>
              </w:rPr>
              <w:t xml:space="preserve"> i Hyper-V. </w:t>
            </w:r>
          </w:p>
        </w:tc>
      </w:tr>
      <w:tr w:rsidR="005B1B37" w:rsidRPr="004030C4" w14:paraId="072F7FFE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5E2C2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b/>
                <w:bCs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90DA9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Serwer musi być wyprodukowany zgodnie z normą ISO-9001:2015, ISO-50001 oraz ISO-14001</w:t>
            </w:r>
          </w:p>
          <w:p w14:paraId="651DD66C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Serwer musi posiadać deklaracja CE.</w:t>
            </w:r>
          </w:p>
          <w:p w14:paraId="44B7D8C2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Oferowane produkty muszą zawierać informacje dotyczące ponownego użycia i recyklingu, nie mogą zawierać farb i powłok na dużych </w:t>
            </w: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lastRenderedPageBreak/>
              <w:t xml:space="preserve">plastikowych częściach, których nie da się poddać recyklingowi lub ponownie użyć. Wszystkie produkty zawierające podzespoły elektroniczne oraz niebezpieczne składniki powinny być bezpiecznie i łatwo identyfikowalne oraz usuwalne. Usunięcie materiałów i komponentów powinno odbywać się zgodnie z wymogami Dyrektywy WEEE 2002/96/EC. Produkty muszą składać się z co najmniej w 65% ze składników wielokrotnego użytku/zdatnych do recyklingu. We wszystkich produktach części tworzyw sztucznych większe niż 25-gramowe powinny zawierać nie więcej niż śladowe ilości środków zmniejszających palność sklasyfikowanych w dyrektywie RE 67/548/EEC. Potwierdzeniem spełnienia powyższego wymogu jest wydruk ze strony internetowej </w:t>
            </w:r>
            <w:hyperlink r:id="rId5" w:history="1">
              <w:r w:rsidRPr="004030C4">
                <w:rPr>
                  <w:rStyle w:val="Hipercze"/>
                  <w:rFonts w:ascii="Lato" w:hAnsi="Lato" w:cstheme="minorHAnsi"/>
                  <w:sz w:val="20"/>
                  <w:szCs w:val="20"/>
                </w:rPr>
                <w:t>www.epeat.net</w:t>
              </w:r>
            </w:hyperlink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potwierdzający spełnienie normy co najmniej </w:t>
            </w:r>
            <w:proofErr w:type="spellStart"/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Epeat</w:t>
            </w:r>
            <w:proofErr w:type="spellEnd"/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Silver według normy wprowadzonej w 2019 roku - </w:t>
            </w:r>
            <w:r w:rsidRPr="004030C4">
              <w:rPr>
                <w:rFonts w:ascii="Lato" w:hAnsi="Lato" w:cstheme="minorHAnsi"/>
                <w:b/>
                <w:bCs/>
                <w:color w:val="000000"/>
                <w:sz w:val="20"/>
                <w:szCs w:val="20"/>
              </w:rPr>
              <w:t>Wykonawca złoży dokument potwierdzający spełnianie wymogu.</w:t>
            </w:r>
          </w:p>
          <w:p w14:paraId="5C03570D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Catalog</w:t>
            </w:r>
            <w:proofErr w:type="spellEnd"/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4030C4">
              <w:rPr>
                <w:rFonts w:ascii="Lato" w:hAnsi="Lato" w:cstheme="minorHAnsi"/>
                <w:color w:val="000000"/>
                <w:sz w:val="20"/>
                <w:szCs w:val="20"/>
              </w:rPr>
              <w:t xml:space="preserve"> for Windows” dla systemów Microsoft Windows Server 2019, Microsoft Windows Server 2022.</w:t>
            </w:r>
          </w:p>
        </w:tc>
      </w:tr>
      <w:tr w:rsidR="005B1B37" w:rsidRPr="004030C4" w14:paraId="3B850DB4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DE6D3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hAnsi="Lato"/>
                <w:b/>
                <w:sz w:val="20"/>
                <w:szCs w:val="20"/>
              </w:rPr>
              <w:lastRenderedPageBreak/>
              <w:t>Dokumentacja użytkownika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D054A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hAnsi="Lato" w:cs="Calibri"/>
                <w:sz w:val="20"/>
                <w:szCs w:val="20"/>
              </w:rPr>
            </w:pPr>
            <w:r w:rsidRPr="004030C4">
              <w:rPr>
                <w:rFonts w:ascii="Lato" w:hAnsi="Lato"/>
                <w:sz w:val="20"/>
                <w:szCs w:val="20"/>
              </w:rPr>
              <w:t>Zamawiający wymaga dokumentacji w języku polskim lub angi</w:t>
            </w:r>
            <w:r w:rsidRPr="004030C4">
              <w:rPr>
                <w:rFonts w:ascii="Lato" w:hAnsi="Lato"/>
                <w:i/>
                <w:sz w:val="20"/>
                <w:szCs w:val="20"/>
              </w:rPr>
              <w:t>e</w:t>
            </w:r>
            <w:r w:rsidRPr="004030C4">
              <w:rPr>
                <w:rFonts w:ascii="Lato" w:hAnsi="Lato"/>
                <w:sz w:val="20"/>
                <w:szCs w:val="20"/>
              </w:rPr>
              <w:t>lskim.</w:t>
            </w:r>
          </w:p>
          <w:p w14:paraId="51E0E384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hAnsi="Lato" w:cs="Calibri"/>
                <w:sz w:val="20"/>
                <w:szCs w:val="20"/>
              </w:rPr>
            </w:pPr>
            <w:r w:rsidRPr="004030C4">
              <w:rPr>
                <w:rFonts w:ascii="Lato" w:hAnsi="Lato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5B1B37" w:rsidRPr="004030C4" w14:paraId="79CF3120" w14:textId="77777777" w:rsidTr="00525CFA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B888E" w14:textId="77777777" w:rsidR="005B1B37" w:rsidRPr="004030C4" w:rsidRDefault="005B1B37" w:rsidP="00525CFA">
            <w:pPr>
              <w:spacing w:line="240" w:lineRule="auto"/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sz w:val="20"/>
                <w:szCs w:val="20"/>
              </w:rPr>
            </w:pPr>
            <w:r w:rsidRPr="004030C4">
              <w:rPr>
                <w:rFonts w:ascii="Lato" w:hAnsi="Lato"/>
                <w:b/>
                <w:sz w:val="20"/>
                <w:szCs w:val="20"/>
              </w:rPr>
              <w:t>Warunki gwarancji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2AB72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Gwarancji producenta: 5 lat</w:t>
            </w:r>
          </w:p>
          <w:p w14:paraId="0657F1A2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76DD96AF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Zamawiający oczekuje możliwości zgłaszania zdarzeń serwisowych w trybie 24/7/365 następującymi kanałami: telefonicznie, przez Internet oraz z wykorzystaniem aplikacji.</w:t>
            </w:r>
          </w:p>
          <w:p w14:paraId="2DEAB8AD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</w:t>
            </w:r>
          </w:p>
          <w:p w14:paraId="20BB9D7D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589599AD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Zamawiający wymaga pojedynczego punktu kontaktu dla całego rozwiązania producenta, w tym także sprzedanego oprogramowania.</w:t>
            </w:r>
          </w:p>
          <w:p w14:paraId="7E3576CF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641BD1CB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Zamawiający oczekuje możliwości samodzielnego kwalifikowania poziomu ważności naprawy.</w:t>
            </w:r>
          </w:p>
          <w:p w14:paraId="1A4C367C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mikrokodu</w:t>
            </w:r>
            <w:proofErr w:type="spellEnd"/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 xml:space="preserve"> oraz sterowników nawet w przypadku wygaśnięcia gwarancji serwera.</w:t>
            </w:r>
          </w:p>
          <w:p w14:paraId="78D2EF70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lastRenderedPageBreak/>
              <w:t>Zamawiający oczekuje nieodpłatnego udostępnienia narzędzi serwisowych i procesów wsparcia umożliwiających: Wykrywanie usterek sprzętowych z predykcją awarii.</w:t>
            </w:r>
          </w:p>
          <w:p w14:paraId="4F3884F6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Automatyczną diagnostykę i zdalne otwieranie zgłoszeń serwisowych.</w:t>
            </w:r>
          </w:p>
          <w:p w14:paraId="4651B326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47529438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Firma serwisująca musi posiadać ISO 9001:2015 oraz ISO-27001 na świadczenie usług serwisowych oraz posiadać autoryzacje producenta urządzeń – dokumenty potwierdzające należy załączyć do oferty.</w:t>
            </w:r>
          </w:p>
          <w:p w14:paraId="460CF2E6" w14:textId="77777777" w:rsidR="005B1B37" w:rsidRPr="004030C4" w:rsidRDefault="005B1B37" w:rsidP="005B1B37">
            <w:pPr>
              <w:pStyle w:val="Akapitzlist"/>
              <w:numPr>
                <w:ilvl w:val="0"/>
                <w:numId w:val="6"/>
              </w:numPr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</w:pPr>
            <w:r w:rsidRPr="004030C4">
              <w:rPr>
                <w:rFonts w:ascii="Lato" w:eastAsia="Times New Roman" w:hAnsi="Lato" w:cstheme="minorHAnsi"/>
                <w:color w:val="000000"/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</w:tc>
      </w:tr>
    </w:tbl>
    <w:p w14:paraId="30BDEA4D" w14:textId="77777777" w:rsidR="005B1B37" w:rsidRPr="004030C4" w:rsidRDefault="005B1B37">
      <w:pPr>
        <w:rPr>
          <w:rFonts w:ascii="Lato" w:hAnsi="Lato"/>
        </w:rPr>
      </w:pPr>
    </w:p>
    <w:sectPr w:rsidR="005B1B37" w:rsidRPr="0040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54373"/>
    <w:multiLevelType w:val="hybridMultilevel"/>
    <w:tmpl w:val="8938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2988"/>
    <w:multiLevelType w:val="hybridMultilevel"/>
    <w:tmpl w:val="267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13BA"/>
    <w:multiLevelType w:val="hybridMultilevel"/>
    <w:tmpl w:val="D546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F0E86"/>
    <w:multiLevelType w:val="hybridMultilevel"/>
    <w:tmpl w:val="DF92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5765"/>
    <w:multiLevelType w:val="hybridMultilevel"/>
    <w:tmpl w:val="2824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914F4"/>
    <w:multiLevelType w:val="hybridMultilevel"/>
    <w:tmpl w:val="9848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A1AB2"/>
    <w:multiLevelType w:val="hybridMultilevel"/>
    <w:tmpl w:val="DB2C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532737">
    <w:abstractNumId w:val="2"/>
  </w:num>
  <w:num w:numId="2" w16cid:durableId="1277104452">
    <w:abstractNumId w:val="8"/>
  </w:num>
  <w:num w:numId="3" w16cid:durableId="1434596604">
    <w:abstractNumId w:val="7"/>
  </w:num>
  <w:num w:numId="4" w16cid:durableId="1712146134">
    <w:abstractNumId w:val="6"/>
  </w:num>
  <w:num w:numId="5" w16cid:durableId="345057013">
    <w:abstractNumId w:val="4"/>
  </w:num>
  <w:num w:numId="6" w16cid:durableId="1321889589">
    <w:abstractNumId w:val="0"/>
  </w:num>
  <w:num w:numId="7" w16cid:durableId="1436556941">
    <w:abstractNumId w:val="1"/>
  </w:num>
  <w:num w:numId="8" w16cid:durableId="638000341">
    <w:abstractNumId w:val="5"/>
  </w:num>
  <w:num w:numId="9" w16cid:durableId="724330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70"/>
    <w:rsid w:val="004030C4"/>
    <w:rsid w:val="0057067C"/>
    <w:rsid w:val="005B1B37"/>
    <w:rsid w:val="0090567B"/>
    <w:rsid w:val="00A55670"/>
    <w:rsid w:val="00C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2B0B"/>
  <w15:chartTrackingRefBased/>
  <w15:docId w15:val="{8549991E-2FF9-4A2E-9861-C19E810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6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56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56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56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56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56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56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56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56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56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56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56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567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567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567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567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567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567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56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5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56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56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56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567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567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567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56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567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5670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B1B37"/>
    <w:rPr>
      <w:color w:val="467886" w:themeColor="hyperlink"/>
      <w:u w:val="single"/>
    </w:rPr>
  </w:style>
  <w:style w:type="paragraph" w:customStyle="1" w:styleId="Default">
    <w:name w:val="Default"/>
    <w:rsid w:val="005B1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a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1956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Mielczarek</dc:creator>
  <cp:keywords/>
  <dc:description/>
  <cp:lastModifiedBy>Marcel Mielczarek</cp:lastModifiedBy>
  <cp:revision>4</cp:revision>
  <dcterms:created xsi:type="dcterms:W3CDTF">2024-02-19T13:41:00Z</dcterms:created>
  <dcterms:modified xsi:type="dcterms:W3CDTF">2024-03-06T08:24:00Z</dcterms:modified>
</cp:coreProperties>
</file>