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63DC3" w14:textId="77777777" w:rsidR="00E445B6" w:rsidRPr="00061AA0" w:rsidRDefault="00061AA0">
      <w:pPr>
        <w:pStyle w:val="Tekstpodstawowywcity"/>
        <w:rPr>
          <w:b/>
          <w:szCs w:val="24"/>
        </w:rPr>
      </w:pPr>
      <w:r w:rsidRPr="00061AA0">
        <w:rPr>
          <w:b/>
          <w:szCs w:val="24"/>
        </w:rPr>
        <w:t>Zał. Nr 2A</w:t>
      </w:r>
    </w:p>
    <w:p w14:paraId="3DFC3469" w14:textId="77777777" w:rsidR="00E445B6" w:rsidRDefault="00A82C0A">
      <w:r>
        <w:rPr>
          <w:b/>
        </w:rPr>
        <w:t>OPIS PRZEDMIOTU  ZAMÓWIENIA – ZESTAWIENIE PARAMETRÓW WYMAGANYCH I PUNKTOWANYCH</w:t>
      </w:r>
    </w:p>
    <w:p w14:paraId="0F73806E" w14:textId="77777777" w:rsidR="00E445B6" w:rsidRDefault="00E445B6">
      <w:pPr>
        <w:rPr>
          <w:b/>
          <w:u w:val="single"/>
        </w:rPr>
      </w:pPr>
    </w:p>
    <w:p w14:paraId="5D12BF18" w14:textId="77777777" w:rsidR="00E445B6" w:rsidRDefault="00A82C0A">
      <w:pPr>
        <w:rPr>
          <w:b/>
          <w:u w:val="single"/>
        </w:rPr>
      </w:pPr>
      <w:r>
        <w:rPr>
          <w:b/>
        </w:rPr>
        <w:t>Specyfikacja Techniczna Tomografu Komputerowego</w:t>
      </w:r>
      <w:r>
        <w:rPr>
          <w:b/>
          <w:u w:val="single"/>
        </w:rPr>
        <w:t xml:space="preserve"> </w:t>
      </w:r>
    </w:p>
    <w:p w14:paraId="3339F255" w14:textId="77777777" w:rsidR="00E445B6" w:rsidRDefault="00E445B6">
      <w:pPr>
        <w:rPr>
          <w:b/>
        </w:rPr>
      </w:pPr>
    </w:p>
    <w:p w14:paraId="51126EF6" w14:textId="77777777" w:rsidR="00E445B6" w:rsidRDefault="00A82C0A">
      <w:pPr>
        <w:rPr>
          <w:b/>
        </w:rPr>
      </w:pPr>
      <w:r>
        <w:rPr>
          <w:b/>
        </w:rPr>
        <w:t>Producent/Kraj: ………………………………………………………………………………………</w:t>
      </w:r>
    </w:p>
    <w:p w14:paraId="4B37A32A" w14:textId="77777777" w:rsidR="00E445B6" w:rsidRDefault="00A82C0A">
      <w:pPr>
        <w:rPr>
          <w:b/>
        </w:rPr>
      </w:pPr>
      <w:r>
        <w:rPr>
          <w:b/>
        </w:rPr>
        <w:t>Typ/Model aparatu: ……………………………………………………………………………………</w:t>
      </w:r>
    </w:p>
    <w:p w14:paraId="307B6D42" w14:textId="77777777" w:rsidR="00E445B6" w:rsidRDefault="00A82C0A">
      <w:r>
        <w:rPr>
          <w:b/>
        </w:rPr>
        <w:t>Rok produkcji  2024: …………………………………………………………………………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0A1B3F24" w14:textId="77777777" w:rsidR="00E445B6" w:rsidRDefault="00E445B6">
      <w:pPr>
        <w:rPr>
          <w:b/>
          <w:u w:val="single"/>
        </w:rPr>
      </w:pPr>
    </w:p>
    <w:tbl>
      <w:tblPr>
        <w:tblW w:w="14601" w:type="dxa"/>
        <w:tblInd w:w="-87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9"/>
        <w:gridCol w:w="1416"/>
        <w:gridCol w:w="2555"/>
        <w:gridCol w:w="4540"/>
      </w:tblGrid>
      <w:tr w:rsidR="00E445B6" w14:paraId="180021DA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52520A77" w14:textId="77777777" w:rsidR="00E445B6" w:rsidRDefault="00A82C0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0684E86" w14:textId="77777777" w:rsidR="00E445B6" w:rsidRDefault="00A82C0A">
            <w:pPr>
              <w:jc w:val="center"/>
              <w:rPr>
                <w:b/>
              </w:rPr>
            </w:pPr>
            <w:r>
              <w:rPr>
                <w:b/>
              </w:rPr>
              <w:t>Opis parametru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2C99359C" w14:textId="77777777" w:rsidR="00E445B6" w:rsidRDefault="00A82C0A">
            <w:pPr>
              <w:jc w:val="center"/>
              <w:rPr>
                <w:b/>
              </w:rPr>
            </w:pPr>
            <w:r>
              <w:rPr>
                <w:b/>
              </w:rPr>
              <w:t>Wartość wymagana*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CAA6DBA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Wartość oferowana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01403A10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Ilość możliwych do uzyskania punktów</w:t>
            </w:r>
          </w:p>
        </w:tc>
      </w:tr>
      <w:tr w:rsidR="00E445B6" w14:paraId="7827A6A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1F57DA" w14:textId="77777777" w:rsidR="00E445B6" w:rsidRDefault="00E445B6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37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7A1941" w14:textId="77777777" w:rsidR="00E445B6" w:rsidRDefault="00A82C0A">
            <w:pPr>
              <w:pStyle w:val="Nagwek2"/>
              <w:tabs>
                <w:tab w:val="left" w:pos="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SYSTEM TOMOGRAFII KOMPUTEROWEJ</w:t>
            </w:r>
          </w:p>
        </w:tc>
      </w:tr>
      <w:tr w:rsidR="00E445B6" w14:paraId="2D782B0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3259C6" w14:textId="77777777" w:rsidR="00E445B6" w:rsidRDefault="00E445B6">
            <w:pPr>
              <w:numPr>
                <w:ilvl w:val="0"/>
                <w:numId w:val="3"/>
              </w:numPr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AABE72" w14:textId="77777777" w:rsidR="00E445B6" w:rsidRDefault="00A82C0A">
            <w:r>
              <w:t>Tomograf komputerowy i wyposażenie fabrycznie nowe, nie regenerowane nie używane, nie demonstracyjne.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58FA20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8067E1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1DFCCE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3D8A85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185EB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F7BB1A" w14:textId="77777777" w:rsidR="00E445B6" w:rsidRDefault="00A82C0A">
            <w:r>
              <w:t xml:space="preserve">Dokumenty dopuszczające do użytkowania i obrotu na terenie RP zaoferowany tomograf, konsolę lekarskie, </w:t>
            </w:r>
            <w:proofErr w:type="spellStart"/>
            <w:r>
              <w:t>wstrzykiwacz</w:t>
            </w:r>
            <w:proofErr w:type="spellEnd"/>
            <w:r>
              <w:t xml:space="preserve"> oraz wszystkie urządzenia dodatkowe zgodnie z obowiązującymi przepisami prawa w tym zakresie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D195B4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69229C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619D3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2F48DC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BEB9E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EF3BB9" w14:textId="77777777" w:rsidR="00E445B6" w:rsidRDefault="00A82C0A">
            <w:r>
              <w:t>System wyposażony w detektor posiadający min. 256 rzędów aktywnych elementów detekcyjnych w osi Z i obejmujący min. 50 cm pole skanowania (</w:t>
            </w:r>
            <w:proofErr w:type="spellStart"/>
            <w:r>
              <w:t>SFoV</w:t>
            </w:r>
            <w:proofErr w:type="spellEnd"/>
            <w:r>
              <w:t>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D2E964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TAK</w:t>
            </w:r>
          </w:p>
          <w:p w14:paraId="7E50A293" w14:textId="77777777" w:rsidR="00E445B6" w:rsidRDefault="00A82C0A">
            <w:pPr>
              <w:jc w:val="center"/>
            </w:pPr>
            <w:r>
              <w:t>(podać liczbę rzędów)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79EE4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B69320" w14:textId="77777777" w:rsidR="00E445B6" w:rsidRDefault="00A82C0A">
            <w:pPr>
              <w:jc w:val="center"/>
            </w:pPr>
            <w:r>
              <w:t>256 rzędów – 0 pkt</w:t>
            </w:r>
          </w:p>
          <w:p w14:paraId="7D37062B" w14:textId="77777777" w:rsidR="00E445B6" w:rsidRDefault="00A82C0A">
            <w:pPr>
              <w:jc w:val="center"/>
            </w:pPr>
            <w:r>
              <w:t>&gt; 256 rzędów – 20 pkt</w:t>
            </w:r>
          </w:p>
        </w:tc>
      </w:tr>
      <w:tr w:rsidR="00E445B6" w14:paraId="5674B470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EF72A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0DE0A3" w14:textId="77777777" w:rsidR="00E445B6" w:rsidRDefault="00A82C0A">
            <w:r>
              <w:t xml:space="preserve">Tomograf komputerowy umożliwiający uzyskanie podwojonej liczby warstw </w:t>
            </w:r>
            <w:proofErr w:type="spellStart"/>
            <w:r>
              <w:t>submilimetrowych</w:t>
            </w:r>
            <w:proofErr w:type="spellEnd"/>
            <w:r>
              <w:t xml:space="preserve"> badanego obszaru (względem ilości rzędów detektora zaoferowanych w punkcie 3) w czasie jednego pełnego obrotu układu/układów lampa-detektor w pełnym polu widzenia.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6F85A3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512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668F70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89991A2" w14:textId="77777777" w:rsidR="00E445B6" w:rsidRDefault="00E445B6">
            <w:pPr>
              <w:jc w:val="center"/>
            </w:pPr>
          </w:p>
        </w:tc>
      </w:tr>
      <w:tr w:rsidR="00E445B6" w14:paraId="5EDC08D7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3B1C8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C354B2" w14:textId="77777777" w:rsidR="00E445B6" w:rsidRDefault="00A82C0A">
            <w:r>
              <w:t>System wyposażony w detektor  zapewniający(e) pokrycie anatomiczne  w osi Z min. 16 cm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94F3BA" w14:textId="77777777" w:rsidR="00E445B6" w:rsidRDefault="00A82C0A">
            <w:pPr>
              <w:jc w:val="center"/>
            </w:pPr>
            <w:r>
              <w:t>TAK</w:t>
            </w:r>
          </w:p>
          <w:p w14:paraId="2156EFDA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3C4A6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FEFA7A" w14:textId="77777777" w:rsidR="00E445B6" w:rsidRDefault="00E445B6"/>
        </w:tc>
      </w:tr>
      <w:tr w:rsidR="00E445B6" w14:paraId="49CAAA69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4BF6E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4AAFE4" w14:textId="77777777" w:rsidR="00E445B6" w:rsidRDefault="00A82C0A">
            <w:r>
              <w:t xml:space="preserve">Średnica otworu </w:t>
            </w:r>
            <w:proofErr w:type="spellStart"/>
            <w:r>
              <w:t>gantry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4A805D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>≥</w:t>
            </w:r>
            <w:r>
              <w:t>78 cm</w:t>
            </w:r>
          </w:p>
          <w:p w14:paraId="282B550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693D2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5B5AE1" w14:textId="77777777" w:rsidR="00E445B6" w:rsidRDefault="00A82C0A">
            <w:pPr>
              <w:jc w:val="center"/>
            </w:pPr>
            <w:r>
              <w:t xml:space="preserve"> 78 cm – 0 pkt</w:t>
            </w:r>
          </w:p>
          <w:p w14:paraId="14BA4A8C" w14:textId="77777777" w:rsidR="00E445B6" w:rsidRDefault="00A82C0A">
            <w:pPr>
              <w:jc w:val="center"/>
            </w:pPr>
            <w:r>
              <w:t>&gt; 78 cm – 10 pkt</w:t>
            </w:r>
          </w:p>
        </w:tc>
      </w:tr>
      <w:tr w:rsidR="00E445B6" w14:paraId="6E7AEF5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F857E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51505A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Sterowanie ruchami stołu i / lub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 xml:space="preserve"> z paneli umieszczonych z dwóch stron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 xml:space="preserve"> (lewa / prawa strona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 xml:space="preserve">) lub przenośnych paneli dotykowych montowanych z dwóch stron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 xml:space="preserve"> (lewa / prawa strona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>).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8443EC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  <w:p w14:paraId="272E6331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A019F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109D9A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31AC4A28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3DBB7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4EC297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Sterowanie ruchami stołu i/lub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  <w:r>
              <w:rPr>
                <w:rFonts w:eastAsia="Calibri"/>
                <w:color w:val="000000"/>
              </w:rPr>
              <w:t xml:space="preserve"> konsoli operatorskiej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8BF166" w14:textId="77777777" w:rsidR="00E445B6" w:rsidRDefault="00A82C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B8A807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12E372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391D5AAC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A5ADC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08B5EA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Sterowanie ruchami stołu za pomocą pedałów nożnych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3786D4" w14:textId="77777777" w:rsidR="00E445B6" w:rsidRDefault="00A82C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3C7564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705943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135A00CF" w14:textId="77777777" w:rsidTr="000941DB">
        <w:trPr>
          <w:trHeight w:val="89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2C519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424D1E" w14:textId="77777777" w:rsidR="00E445B6" w:rsidRDefault="00A82C0A">
            <w:r>
              <w:t>Maksymalna dopuszczalna masa pacjenta z zachowaniem precyzji pozycjonowania stołu nie gorszej niż ± 1 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955422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300 kg</w:t>
            </w:r>
          </w:p>
          <w:p w14:paraId="22C98D32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3A7FC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5D5745" w14:textId="77777777" w:rsidR="00E445B6" w:rsidRDefault="000941DB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color w:val="FF0000"/>
                <w:szCs w:val="24"/>
              </w:rPr>
            </w:pPr>
            <w:r w:rsidRPr="000941DB">
              <w:rPr>
                <w:rFonts w:eastAsia="SimSun"/>
                <w:bCs/>
                <w:iCs/>
                <w:color w:val="FF0000"/>
                <w:szCs w:val="24"/>
              </w:rPr>
              <w:t>Precyzja pozycjonowania</w:t>
            </w:r>
          </w:p>
          <w:p w14:paraId="1F9CC521" w14:textId="77777777" w:rsidR="000941DB" w:rsidRPr="000941DB" w:rsidRDefault="000941DB">
            <w:pPr>
              <w:pStyle w:val="Nagwek2"/>
              <w:tabs>
                <w:tab w:val="left" w:pos="0"/>
              </w:tabs>
              <w:jc w:val="center"/>
              <w:rPr>
                <w:rFonts w:eastAsia="Arial Narrow"/>
                <w:color w:val="FF0000"/>
              </w:rPr>
            </w:pPr>
            <w:r w:rsidRPr="000941DB">
              <w:rPr>
                <w:rFonts w:eastAsia="Arial Narrow"/>
                <w:color w:val="FF0000"/>
              </w:rPr>
              <w:t>&lt;0,5 mm- 5 pkt</w:t>
            </w:r>
          </w:p>
          <w:p w14:paraId="444482C8" w14:textId="0242B399" w:rsidR="000941DB" w:rsidRPr="000941DB" w:rsidRDefault="000941DB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 w:rsidRPr="000941DB">
              <w:rPr>
                <w:rFonts w:eastAsia="Arial Narrow" w:cs="Times New Roman"/>
                <w:color w:val="FF0000"/>
              </w:rPr>
              <w:t>≥</w:t>
            </w:r>
            <w:r w:rsidRPr="000941DB">
              <w:rPr>
                <w:rFonts w:eastAsia="Arial Narrow"/>
                <w:color w:val="FF0000"/>
              </w:rPr>
              <w:t>0,5 mm- 0 pkt</w:t>
            </w:r>
          </w:p>
        </w:tc>
      </w:tr>
      <w:tr w:rsidR="00E445B6" w14:paraId="45EAB05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DDC9F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9A98A6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Minimalna wysokość stołu przy pozycjonowaniu pacjenta [cm]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DED286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≤ </w:t>
            </w:r>
            <w:r>
              <w:t>55 cm</w:t>
            </w:r>
          </w:p>
          <w:p w14:paraId="553F3DB0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2E6F10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67A8C1" w14:textId="77777777" w:rsidR="00E445B6" w:rsidRDefault="00A82C0A">
            <w:pPr>
              <w:jc w:val="center"/>
            </w:pPr>
            <w:r>
              <w:t>55 cm – 0 pkt</w:t>
            </w:r>
          </w:p>
          <w:p w14:paraId="19C1DC57" w14:textId="77777777" w:rsidR="00E445B6" w:rsidRDefault="00A82C0A">
            <w:pPr>
              <w:jc w:val="center"/>
            </w:pPr>
            <w:r>
              <w:rPr>
                <w:rFonts w:eastAsia="Arial Narrow"/>
                <w:u w:val="single"/>
              </w:rPr>
              <w:t>&gt;</w:t>
            </w:r>
            <w:r>
              <w:rPr>
                <w:rFonts w:eastAsia="Arial Narrow"/>
              </w:rPr>
              <w:t>45 cm i &lt;</w:t>
            </w:r>
            <w:r>
              <w:t>55 cm – 2 pkt</w:t>
            </w:r>
          </w:p>
          <w:p w14:paraId="3D2EC28F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rFonts w:eastAsia="Arial Narrow"/>
                <w:szCs w:val="24"/>
              </w:rPr>
              <w:t>&lt;</w:t>
            </w:r>
            <w:r>
              <w:rPr>
                <w:szCs w:val="24"/>
              </w:rPr>
              <w:t>45 cm – 5 pkt</w:t>
            </w:r>
          </w:p>
        </w:tc>
      </w:tr>
      <w:tr w:rsidR="00E445B6" w14:paraId="75BB05E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7B723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D875F4" w14:textId="77777777" w:rsidR="00E445B6" w:rsidRDefault="00A82C0A">
            <w:r>
              <w:t>Zakres badania bez elementów metalowych i potrzeby przemieszczania pacjenta [cm]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31D54D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200 cm</w:t>
            </w:r>
          </w:p>
          <w:p w14:paraId="2ED0C5A3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3ACFD0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4330FB" w14:textId="77777777" w:rsidR="00E445B6" w:rsidRDefault="00E445B6">
            <w:pPr>
              <w:jc w:val="center"/>
            </w:pPr>
          </w:p>
        </w:tc>
      </w:tr>
      <w:tr w:rsidR="00E445B6" w14:paraId="29109C35" w14:textId="77777777" w:rsidTr="000D0B86">
        <w:trPr>
          <w:trHeight w:val="128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DDED9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EFC9B0" w14:textId="77777777" w:rsidR="00E445B6" w:rsidRDefault="00A82C0A">
            <w:r>
              <w:t>Centrowanie pacjenta poprzez zmianę położenia stołu i działające w oparciu o kamerę lub system kamer umożliwiająca automatyczne pozycjonowanie pacjenta min. w kierunkach y z.</w:t>
            </w:r>
          </w:p>
          <w:p w14:paraId="28194200" w14:textId="77777777" w:rsidR="00E445B6" w:rsidRDefault="00E445B6">
            <w:pPr>
              <w:rPr>
                <w:rFonts w:eastAsia="Calibri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05C467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TAK</w:t>
            </w:r>
          </w:p>
          <w:p w14:paraId="344C8B6B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8D6634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96CD09" w14:textId="77777777" w:rsidR="00E445B6" w:rsidRDefault="00A82C0A">
            <w:pPr>
              <w:jc w:val="center"/>
            </w:pPr>
            <w:r>
              <w:t>w kierunkach y z – 0 pkt</w:t>
            </w:r>
          </w:p>
          <w:p w14:paraId="6244745C" w14:textId="77777777" w:rsidR="00E445B6" w:rsidRDefault="00E445B6">
            <w:pPr>
              <w:jc w:val="center"/>
            </w:pPr>
          </w:p>
          <w:p w14:paraId="7730E00F" w14:textId="77777777" w:rsidR="00E445B6" w:rsidRDefault="00A82C0A">
            <w:pPr>
              <w:jc w:val="center"/>
            </w:pPr>
            <w:r>
              <w:t>w kierunkach  x y z – 20 pkt</w:t>
            </w:r>
          </w:p>
        </w:tc>
      </w:tr>
      <w:tr w:rsidR="00E445B6" w14:paraId="6CA176AC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45615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B50AE5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System wspomagania pozycjonowania pacjenta stosujący algorytmy sztucznej inteligencji umożliwiający min. centrowania pacjenta, pozycjonowanie pacjenta w osi </w:t>
            </w:r>
            <w:proofErr w:type="spellStart"/>
            <w:r>
              <w:rPr>
                <w:rFonts w:eastAsia="Calibri"/>
                <w:color w:val="000000"/>
              </w:rPr>
              <w:t>izocentrum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gantry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6FD26C" w14:textId="77777777" w:rsidR="00E445B6" w:rsidRDefault="00A82C0A">
            <w:pPr>
              <w:jc w:val="center"/>
            </w:pPr>
            <w:r>
              <w:t>TAK / NIE</w:t>
            </w:r>
          </w:p>
          <w:p w14:paraId="19E87445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C1384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990B5B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5 pkt</w:t>
            </w:r>
          </w:p>
          <w:p w14:paraId="6A557CCB" w14:textId="77777777" w:rsidR="00E445B6" w:rsidRDefault="00A82C0A">
            <w:pPr>
              <w:jc w:val="center"/>
            </w:pPr>
            <w:r>
              <w:t>NIE – 0 pkt</w:t>
            </w:r>
          </w:p>
        </w:tc>
      </w:tr>
      <w:tr w:rsidR="00E445B6" w14:paraId="7A3399B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52992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CA199A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Poprzeczny (realizowany elektronicznie) ruch stołu w zakresie min. +/- 40 mm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44F7C6" w14:textId="77777777" w:rsidR="00E445B6" w:rsidRDefault="00A82C0A">
            <w:pPr>
              <w:jc w:val="center"/>
            </w:pPr>
            <w:r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E21DB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9A53C3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NIE – 0 pkt</w:t>
            </w:r>
          </w:p>
          <w:p w14:paraId="488C43B8" w14:textId="77777777" w:rsidR="00E445B6" w:rsidRDefault="00A82C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TAK, </w:t>
            </w:r>
            <w:r>
              <w:rPr>
                <w:rFonts w:eastAsia="SimSun"/>
                <w:u w:val="single"/>
              </w:rPr>
              <w:t>&gt;</w:t>
            </w:r>
            <w:r>
              <w:rPr>
                <w:rFonts w:eastAsia="SimSun"/>
              </w:rPr>
              <w:t xml:space="preserve"> 40 mm i &lt; 80 mm – 5 pkt</w:t>
            </w:r>
          </w:p>
          <w:p w14:paraId="480EC8A1" w14:textId="77777777" w:rsidR="00E445B6" w:rsidRDefault="00A82C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TAK, </w:t>
            </w:r>
            <w:r>
              <w:rPr>
                <w:rFonts w:eastAsia="SimSun"/>
                <w:u w:val="single"/>
              </w:rPr>
              <w:t>&gt;</w:t>
            </w:r>
            <w:r>
              <w:rPr>
                <w:rFonts w:eastAsia="SimSun"/>
              </w:rPr>
              <w:t xml:space="preserve"> 80 mm – 10 pkt</w:t>
            </w:r>
          </w:p>
        </w:tc>
      </w:tr>
      <w:tr w:rsidR="00E445B6" w14:paraId="7E0840A7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9CB11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41737A" w14:textId="77777777" w:rsidR="00E445B6" w:rsidRDefault="00A82C0A">
            <w:r>
              <w:t>Zakres skanowania w trybie spiralnym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F7DFCB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185 cm</w:t>
            </w:r>
          </w:p>
          <w:p w14:paraId="73514BBB" w14:textId="77777777" w:rsidR="00E445B6" w:rsidRDefault="00A82C0A">
            <w:pPr>
              <w:jc w:val="center"/>
            </w:pPr>
            <w:r>
              <w:lastRenderedPageBreak/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D32EBC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B4A80F" w14:textId="77777777" w:rsidR="00E445B6" w:rsidRDefault="00A82C0A">
            <w:pPr>
              <w:jc w:val="center"/>
            </w:pPr>
            <w:r>
              <w:rPr>
                <w:u w:val="single"/>
              </w:rPr>
              <w:t>&lt;</w:t>
            </w:r>
            <w:r>
              <w:t xml:space="preserve"> 190 cm – 0 pkt</w:t>
            </w:r>
          </w:p>
          <w:p w14:paraId="7D9FFF0B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&gt; 190 cm  - 10 pkt</w:t>
            </w:r>
          </w:p>
        </w:tc>
      </w:tr>
    </w:tbl>
    <w:p w14:paraId="1DA54A05" w14:textId="77777777" w:rsidR="00E445B6" w:rsidRDefault="00E445B6"/>
    <w:tbl>
      <w:tblPr>
        <w:tblW w:w="14601" w:type="dxa"/>
        <w:tblInd w:w="-87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9"/>
        <w:gridCol w:w="1416"/>
        <w:gridCol w:w="2555"/>
        <w:gridCol w:w="4540"/>
      </w:tblGrid>
      <w:tr w:rsidR="00E445B6" w14:paraId="3ED13DD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15655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DD143D" w14:textId="77777777" w:rsidR="00E445B6" w:rsidRDefault="00A82C0A">
            <w:r>
              <w:t>Maksymalna szybkość przesuwu stołu podczas skanu spiralnego nie niższa niż 400 mm/s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5E685C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D6898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6706C3" w14:textId="77777777" w:rsidR="00E445B6" w:rsidRDefault="00A82C0A">
            <w:pPr>
              <w:jc w:val="center"/>
            </w:pPr>
            <w:r>
              <w:t>&lt; 450 – 0 pkt</w:t>
            </w:r>
          </w:p>
          <w:p w14:paraId="487B574F" w14:textId="77777777" w:rsidR="00E445B6" w:rsidRDefault="00A82C0A">
            <w:pPr>
              <w:jc w:val="center"/>
            </w:pPr>
            <w:r>
              <w:rPr>
                <w:u w:val="single"/>
              </w:rPr>
              <w:t>&gt;</w:t>
            </w:r>
            <w:r>
              <w:t xml:space="preserve"> 450 – 5 pkt</w:t>
            </w:r>
          </w:p>
        </w:tc>
      </w:tr>
      <w:tr w:rsidR="00E445B6" w14:paraId="1B11884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3DB67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8E0C3B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Wyposażenie stołu:</w:t>
            </w:r>
          </w:p>
          <w:p w14:paraId="72783056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materac</w:t>
            </w:r>
          </w:p>
          <w:p w14:paraId="07E34B95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podgłówek do badania głowy (również w pozycji</w:t>
            </w:r>
          </w:p>
          <w:p w14:paraId="35D73BD1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na wznak)</w:t>
            </w:r>
          </w:p>
          <w:p w14:paraId="1D1E8C9B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pasy stabilizujące</w:t>
            </w:r>
          </w:p>
          <w:p w14:paraId="3804DB52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podpórka pod ramię, kolana i nogi</w:t>
            </w:r>
          </w:p>
          <w:p w14:paraId="2D5E976E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mata chroniąca stół przed zalaniem płynami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E42B1C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5683F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11C72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</w:p>
        </w:tc>
      </w:tr>
      <w:tr w:rsidR="00E445B6" w14:paraId="67E9CCB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A590E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B43BCB" w14:textId="77777777" w:rsidR="00E445B6" w:rsidRDefault="00A82C0A">
            <w:r>
              <w:t xml:space="preserve">Tryb badań nagłych umożliwiający uruchomienie skanowania z poziomu </w:t>
            </w:r>
            <w:proofErr w:type="spellStart"/>
            <w:r>
              <w:t>gantry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66A0B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30F26F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D177B1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</w:p>
        </w:tc>
      </w:tr>
      <w:tr w:rsidR="00E445B6" w14:paraId="6E30AF58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60703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BDA3A2" w14:textId="77777777" w:rsidR="00E445B6" w:rsidRDefault="00A82C0A">
            <w:r>
              <w:t xml:space="preserve">Tryb badań nagłych umożliwiający wybór pacjenta, protokołu badania oraz jego modyfikację bezpośrednio na panelu </w:t>
            </w:r>
            <w:proofErr w:type="spellStart"/>
            <w:r>
              <w:t>gantry</w:t>
            </w:r>
            <w:proofErr w:type="spellEnd"/>
            <w:r>
              <w:t xml:space="preserve"> lub urządzeniu mobilnym lub tryb badań nagłych umożliwiający automatyczny dobór parametrów badania oraz włączenie priorytetu rekonstrukcji dla badań pourazowych oraz prospektywne </w:t>
            </w:r>
            <w:proofErr w:type="spellStart"/>
            <w:r>
              <w:t>reformatowanie</w:t>
            </w:r>
            <w:proofErr w:type="spellEnd"/>
            <w:r>
              <w:t xml:space="preserve"> MPR w celu przyspieszenia procesu rekonstrukcji obrazów.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3B336C" w14:textId="77777777" w:rsidR="00E445B6" w:rsidRDefault="00A82C0A">
            <w:pPr>
              <w:jc w:val="center"/>
            </w:pPr>
            <w:r>
              <w:t>TAK / NIE</w:t>
            </w:r>
          </w:p>
          <w:p w14:paraId="7130B191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18F7C4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E61036" w14:textId="77777777" w:rsidR="00E445B6" w:rsidRDefault="00A82C0A">
            <w:pPr>
              <w:pStyle w:val="Nagwek2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TAK – 2 pkt</w:t>
            </w:r>
          </w:p>
          <w:p w14:paraId="2108EB1E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NIE – 0 pkt</w:t>
            </w:r>
          </w:p>
        </w:tc>
      </w:tr>
      <w:tr w:rsidR="00E445B6" w14:paraId="66EFC13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C3ADD1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F005AA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Wyświetlanie filmów instruktażowych dla pacjenta , w tym filmów dedykowanych dla dzieci (w postaci kreskówek) na monitorze na </w:t>
            </w:r>
            <w:proofErr w:type="spellStart"/>
            <w:r>
              <w:rPr>
                <w:bCs/>
              </w:rPr>
              <w:t>gantry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162352" w14:textId="77777777" w:rsidR="00E445B6" w:rsidRDefault="00A82C0A">
            <w:pPr>
              <w:jc w:val="center"/>
            </w:pPr>
            <w:r>
              <w:t>TAK / NIE</w:t>
            </w:r>
          </w:p>
          <w:p w14:paraId="3455F57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B635DC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3D2724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 xml:space="preserve">TAK – </w:t>
            </w:r>
            <w:r w:rsidR="00581827">
              <w:rPr>
                <w:rFonts w:eastAsia="SimSun"/>
                <w:bCs/>
                <w:iCs/>
                <w:szCs w:val="24"/>
              </w:rPr>
              <w:t>1</w:t>
            </w:r>
            <w:r>
              <w:rPr>
                <w:rFonts w:eastAsia="SimSun"/>
                <w:bCs/>
                <w:iCs/>
                <w:szCs w:val="24"/>
              </w:rPr>
              <w:t xml:space="preserve"> pkt</w:t>
            </w:r>
          </w:p>
          <w:p w14:paraId="4A137156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NIE – 0 pkt</w:t>
            </w:r>
          </w:p>
        </w:tc>
      </w:tr>
      <w:tr w:rsidR="00E445B6" w14:paraId="193E873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D5289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81E944" w14:textId="77777777" w:rsidR="00E445B6" w:rsidRDefault="00A82C0A">
            <w:r>
              <w:t>Wskaźnik informujący i widziany przez pacjenta w trakcie akwizycji o konieczności zatrzymania oddechu wraz z cyfrowymi licznikami czasu pozostałego do końca skanowania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DE9E16" w14:textId="77777777" w:rsidR="00E445B6" w:rsidRDefault="00A82C0A">
            <w:pPr>
              <w:jc w:val="center"/>
            </w:pPr>
            <w:r>
              <w:t>TAK</w:t>
            </w:r>
          </w:p>
          <w:p w14:paraId="5B63774D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E49F7D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C74213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</w:p>
        </w:tc>
      </w:tr>
      <w:tr w:rsidR="00E445B6" w14:paraId="2AB5908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D5A77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8738D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Wyświetlanie przebiegów EKG na monitorze na</w:t>
            </w:r>
          </w:p>
          <w:p w14:paraId="1F9C15BA" w14:textId="77777777" w:rsidR="00E445B6" w:rsidRDefault="00A82C0A">
            <w:pPr>
              <w:rPr>
                <w:bCs/>
              </w:rPr>
            </w:pPr>
            <w:proofErr w:type="spellStart"/>
            <w:r>
              <w:rPr>
                <w:bCs/>
              </w:rPr>
              <w:t>gantry</w:t>
            </w:r>
            <w:proofErr w:type="spellEnd"/>
            <w:r>
              <w:rPr>
                <w:bCs/>
              </w:rPr>
              <w:t>,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FA4BF3" w14:textId="77777777" w:rsidR="00E445B6" w:rsidRDefault="00A82C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4078C7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66396B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</w:p>
        </w:tc>
      </w:tr>
      <w:tr w:rsidR="00E445B6" w14:paraId="1498AA58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75FF3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i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CC534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Moduł synchronizacji akwizycji z przebiegiem EKG </w:t>
            </w:r>
            <w:r>
              <w:rPr>
                <w:bCs/>
              </w:rPr>
              <w:lastRenderedPageBreak/>
              <w:t>wraz z wymaganym kardiomonitorem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A34EB0" w14:textId="77777777" w:rsidR="00E445B6" w:rsidRDefault="00A82C0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0EA0DB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3DF97A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515BE73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CBB08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4044F3" w14:textId="77777777" w:rsidR="00E445B6" w:rsidRDefault="00A82C0A">
            <w:r>
              <w:t xml:space="preserve">Maksymalna moc generatora (dla trybu skanowania </w:t>
            </w:r>
            <w:proofErr w:type="spellStart"/>
            <w:r>
              <w:t>jednoenergetycznego</w:t>
            </w:r>
            <w:proofErr w:type="spellEnd"/>
            <w:r>
              <w:t>) [kW],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A1D533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90 kW</w:t>
            </w:r>
          </w:p>
          <w:p w14:paraId="4B7CE4D6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63C162" w14:textId="77777777" w:rsidR="00E445B6" w:rsidRDefault="00E445B6">
            <w:pPr>
              <w:pStyle w:val="Nagwek5"/>
              <w:keepLines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FE85B3" w14:textId="77777777" w:rsidR="00E445B6" w:rsidRDefault="00E445B6">
            <w:pPr>
              <w:pStyle w:val="Nagwek5"/>
              <w:keepLines w:val="0"/>
              <w:tabs>
                <w:tab w:val="left" w:pos="0"/>
              </w:tabs>
              <w:spacing w:before="0"/>
              <w:jc w:val="center"/>
              <w:rPr>
                <w:rFonts w:ascii="Times New Roman" w:eastAsia="Arial Narrow" w:hAnsi="Times New Roman"/>
                <w:b/>
                <w:bCs/>
                <w:i/>
                <w:iCs/>
                <w:szCs w:val="24"/>
              </w:rPr>
            </w:pPr>
          </w:p>
        </w:tc>
      </w:tr>
      <w:tr w:rsidR="00E445B6" w14:paraId="5A5583D7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C2E66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  <w:rPr>
                <w:bCs/>
                <w:iCs/>
              </w:rPr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0CDB33" w14:textId="77777777" w:rsidR="00E445B6" w:rsidRDefault="00A82C0A">
            <w:r>
              <w:t>Minimalny zakres napięć anodowych możliwy do zastosowania w protokołach badań [</w:t>
            </w:r>
            <w:proofErr w:type="spellStart"/>
            <w:r>
              <w:t>kV</w:t>
            </w:r>
            <w:proofErr w:type="spellEnd"/>
            <w:r>
              <w:t>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4203B4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 80 – </w:t>
            </w:r>
            <w:r>
              <w:t xml:space="preserve">135 </w:t>
            </w:r>
            <w:proofErr w:type="spellStart"/>
            <w:r>
              <w:t>kV</w:t>
            </w:r>
            <w:proofErr w:type="spellEnd"/>
          </w:p>
          <w:p w14:paraId="3894D181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3615C9" w14:textId="77777777" w:rsidR="00E445B6" w:rsidRDefault="00E445B6">
            <w:pPr>
              <w:pStyle w:val="Nagwek5"/>
              <w:keepLines w:val="0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EE8447" w14:textId="77777777" w:rsidR="00E445B6" w:rsidRDefault="00E445B6">
            <w:pPr>
              <w:jc w:val="center"/>
              <w:rPr>
                <w:lang w:eastAsia="en-US"/>
              </w:rPr>
            </w:pPr>
          </w:p>
        </w:tc>
      </w:tr>
      <w:tr w:rsidR="00E445B6" w14:paraId="31E83D65" w14:textId="77777777">
        <w:trPr>
          <w:trHeight w:val="55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AFA64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89A23D" w14:textId="77777777" w:rsidR="00E445B6" w:rsidRDefault="00A82C0A">
            <w:r>
              <w:t>Liczba możliwych pozycji napięcia możliwych do</w:t>
            </w:r>
          </w:p>
          <w:p w14:paraId="1921F8D2" w14:textId="77777777" w:rsidR="00E445B6" w:rsidRDefault="00A82C0A">
            <w:r>
              <w:t>ustawienia w protokole badania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53511A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4</w:t>
            </w:r>
          </w:p>
          <w:p w14:paraId="625B30DA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6E164D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D5A7286" w14:textId="77777777" w:rsidR="00E445B6" w:rsidRDefault="00E445B6">
            <w:pPr>
              <w:jc w:val="center"/>
            </w:pPr>
          </w:p>
        </w:tc>
      </w:tr>
      <w:tr w:rsidR="00E445B6" w14:paraId="1AC86185" w14:textId="77777777">
        <w:trPr>
          <w:trHeight w:val="55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8826C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4581E1" w14:textId="77777777" w:rsidR="00E445B6" w:rsidRDefault="00A82C0A">
            <w:proofErr w:type="spellStart"/>
            <w:r>
              <w:t>Niskodawkowe</w:t>
            </w:r>
            <w:proofErr w:type="spellEnd"/>
            <w:r>
              <w:t xml:space="preserve"> protokoły umożliwiające wykonywanie badań przy niskich nastawach napięcia ≤ 80 </w:t>
            </w:r>
            <w:proofErr w:type="spellStart"/>
            <w:r>
              <w:t>kV</w:t>
            </w:r>
            <w:proofErr w:type="spellEnd"/>
            <w:r>
              <w:t xml:space="preserve"> i jednocześnie wysokich prądach ≥ 600 </w:t>
            </w:r>
            <w:proofErr w:type="spellStart"/>
            <w:r>
              <w:t>mA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9474CC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TAK</w:t>
            </w:r>
          </w:p>
          <w:p w14:paraId="46518AB4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42F801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310552" w14:textId="77777777" w:rsidR="00E445B6" w:rsidRDefault="00A82C0A">
            <w:pPr>
              <w:jc w:val="center"/>
            </w:pPr>
            <w:r>
              <w:t xml:space="preserve">Dla napięcia 80 </w:t>
            </w:r>
            <w:proofErr w:type="spellStart"/>
            <w:r>
              <w:t>kV</w:t>
            </w:r>
            <w:proofErr w:type="spellEnd"/>
            <w:r>
              <w:t xml:space="preserve"> – 0 pkt</w:t>
            </w:r>
          </w:p>
          <w:p w14:paraId="10A5F528" w14:textId="77777777" w:rsidR="00E445B6" w:rsidRDefault="00A82C0A">
            <w:pPr>
              <w:jc w:val="center"/>
            </w:pPr>
            <w:r>
              <w:t xml:space="preserve">Dla napięcia &lt; 80 </w:t>
            </w:r>
            <w:proofErr w:type="spellStart"/>
            <w:r>
              <w:t>kV</w:t>
            </w:r>
            <w:proofErr w:type="spellEnd"/>
            <w:r>
              <w:t xml:space="preserve"> – 5 pkt</w:t>
            </w:r>
          </w:p>
          <w:p w14:paraId="49BAB541" w14:textId="77777777" w:rsidR="00E445B6" w:rsidRDefault="00E445B6">
            <w:pPr>
              <w:jc w:val="center"/>
            </w:pPr>
          </w:p>
        </w:tc>
      </w:tr>
      <w:tr w:rsidR="00E445B6" w14:paraId="21560AD8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51FC2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43B0B9" w14:textId="77777777" w:rsidR="00E445B6" w:rsidRDefault="00A82C0A">
            <w:r>
              <w:t>Maksymalna wartość prądu lampy przy skanie</w:t>
            </w:r>
          </w:p>
          <w:p w14:paraId="47DF7E66" w14:textId="77777777" w:rsidR="00E445B6" w:rsidRDefault="00A82C0A">
            <w:proofErr w:type="spellStart"/>
            <w:r>
              <w:t>jednoenergetycznym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00FD0C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 xml:space="preserve">1300 </w:t>
            </w:r>
            <w:proofErr w:type="spellStart"/>
            <w:r>
              <w:t>mA</w:t>
            </w:r>
            <w:proofErr w:type="spellEnd"/>
          </w:p>
          <w:p w14:paraId="14F8A81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54BE44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13F69E" w14:textId="77777777" w:rsidR="00E445B6" w:rsidRDefault="00A82C0A">
            <w:pPr>
              <w:jc w:val="center"/>
            </w:pPr>
            <w:r>
              <w:t xml:space="preserve">1300 </w:t>
            </w:r>
            <w:proofErr w:type="spellStart"/>
            <w:r>
              <w:t>mA</w:t>
            </w:r>
            <w:proofErr w:type="spellEnd"/>
            <w:r>
              <w:t xml:space="preserve"> – 0 pkt</w:t>
            </w:r>
          </w:p>
          <w:p w14:paraId="20E8E2EB" w14:textId="77777777" w:rsidR="00E445B6" w:rsidRDefault="00A82C0A">
            <w:pPr>
              <w:jc w:val="center"/>
            </w:pPr>
            <w:r>
              <w:t xml:space="preserve">&gt; 1300 </w:t>
            </w:r>
            <w:proofErr w:type="spellStart"/>
            <w:r>
              <w:t>mA</w:t>
            </w:r>
            <w:proofErr w:type="spellEnd"/>
            <w:r>
              <w:t xml:space="preserve"> – 10 pkt</w:t>
            </w:r>
          </w:p>
        </w:tc>
      </w:tr>
      <w:tr w:rsidR="00E445B6" w14:paraId="3BAF2DFF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EAC02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DAA781" w14:textId="77777777" w:rsidR="00E445B6" w:rsidRDefault="00A82C0A">
            <w:r>
              <w:t>Automatyczny wybór ogniska lampy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58EC22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67C03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847204E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0CF1F92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846B6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19FBA1" w14:textId="77777777" w:rsidR="00E445B6" w:rsidRDefault="00A82C0A">
            <w:r>
              <w:t>Pojemność cieplna anody lampy lub jej odpowiednik w przypadku lampy RTG o konstrukcji chłodzenia innej niż klasyczna jeśli jej szybkość chłodzenia nie jest mniejsza niż 5 MHU/min   [MHU]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D730D2" w14:textId="0E46BC01" w:rsidR="00E445B6" w:rsidRPr="000D0B86" w:rsidRDefault="00A82C0A">
            <w:pPr>
              <w:jc w:val="center"/>
              <w:rPr>
                <w:color w:val="FF0000"/>
              </w:rPr>
            </w:pPr>
            <w:r w:rsidRPr="000D0B86">
              <w:rPr>
                <w:rFonts w:eastAsia="Arial Narrow"/>
                <w:color w:val="FF0000"/>
              </w:rPr>
              <w:t xml:space="preserve">≥ </w:t>
            </w:r>
            <w:r w:rsidR="000D0B86" w:rsidRPr="000D0B86">
              <w:rPr>
                <w:rFonts w:eastAsia="Arial Narrow"/>
                <w:color w:val="FF0000"/>
              </w:rPr>
              <w:t>4</w:t>
            </w:r>
            <w:r w:rsidRPr="000D0B86">
              <w:rPr>
                <w:color w:val="FF0000"/>
              </w:rPr>
              <w:t>,0 MHU</w:t>
            </w:r>
          </w:p>
          <w:p w14:paraId="3A78C041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7460E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B5FE85" w14:textId="77777777" w:rsidR="00E445B6" w:rsidRDefault="00E445B6">
            <w:pPr>
              <w:jc w:val="center"/>
            </w:pPr>
          </w:p>
        </w:tc>
      </w:tr>
      <w:tr w:rsidR="00E445B6" w14:paraId="7F0A4BF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F10A6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2960E4" w14:textId="77777777" w:rsidR="00E445B6" w:rsidRDefault="00A82C0A">
            <w:r>
              <w:t>Szybkość chłodzenia anody lampy [</w:t>
            </w:r>
            <w:proofErr w:type="spellStart"/>
            <w:r>
              <w:t>kHU</w:t>
            </w:r>
            <w:proofErr w:type="spellEnd"/>
            <w:r>
              <w:t>/min]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77099C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 xml:space="preserve">1300 </w:t>
            </w:r>
            <w:proofErr w:type="spellStart"/>
            <w:r>
              <w:t>kHU</w:t>
            </w:r>
            <w:proofErr w:type="spellEnd"/>
            <w:r>
              <w:t>/min</w:t>
            </w:r>
          </w:p>
          <w:p w14:paraId="6EB86608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2F423C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0CBF0E" w14:textId="77777777" w:rsidR="00E445B6" w:rsidRDefault="00E445B6">
            <w:pPr>
              <w:jc w:val="center"/>
            </w:pPr>
          </w:p>
        </w:tc>
      </w:tr>
      <w:tr w:rsidR="00E445B6" w14:paraId="2B0EC8FC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10E7F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9FF993" w14:textId="77777777" w:rsidR="00E445B6" w:rsidRDefault="00A82C0A">
            <w:r>
              <w:t>Odległość ognisko lampy – detektor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C364622" w14:textId="77777777" w:rsidR="00E445B6" w:rsidRDefault="00A82C0A">
            <w:pPr>
              <w:jc w:val="center"/>
            </w:pPr>
            <w:r>
              <w:t>Podać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2D5600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491B11" w14:textId="77777777" w:rsidR="00E445B6" w:rsidRDefault="00A82C0A">
            <w:pPr>
              <w:jc w:val="center"/>
            </w:pPr>
            <w:r>
              <w:t>&lt; 110 cm - 5 pkt</w:t>
            </w:r>
          </w:p>
          <w:p w14:paraId="0E9FFF38" w14:textId="77777777" w:rsidR="00E445B6" w:rsidRDefault="00A82C0A">
            <w:pPr>
              <w:jc w:val="center"/>
            </w:pPr>
            <w:r>
              <w:t>≥ 110 cm - 0 pkt</w:t>
            </w:r>
          </w:p>
        </w:tc>
      </w:tr>
      <w:tr w:rsidR="00E445B6" w14:paraId="623361E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41238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FC7317" w14:textId="77777777" w:rsidR="00E445B6" w:rsidRDefault="00A82C0A">
            <w:r>
              <w:t>Maksymalne, diagnostyczne pole skanowania SFOV [cm] wynikające i zgodne z kolimacją kąta wiązki promieniowania lampy RTG w płaszczyźnie XY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D8282C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50 cm</w:t>
            </w:r>
          </w:p>
          <w:p w14:paraId="0C8A12B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FC3A77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5BAE1E" w14:textId="77777777" w:rsidR="00E445B6" w:rsidRDefault="00E445B6">
            <w:pPr>
              <w:jc w:val="center"/>
            </w:pPr>
          </w:p>
        </w:tc>
      </w:tr>
      <w:tr w:rsidR="00E445B6" w14:paraId="4A9B3630" w14:textId="77777777">
        <w:trPr>
          <w:trHeight w:val="101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40C7A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38CDA8" w14:textId="77777777" w:rsidR="00E445B6" w:rsidRDefault="00A82C0A">
            <w:r>
              <w:t xml:space="preserve">Liczba rozmiarów diagnostycznych pól skanowania SFOV [cm] </w:t>
            </w:r>
            <w:r>
              <w:rPr>
                <w:u w:val="single"/>
              </w:rPr>
              <w:t>&lt;</w:t>
            </w:r>
            <w:r>
              <w:t xml:space="preserve"> 50 cm wynikających i zgodnych z kolimacją kąta wiązki promieniowania lampy RTG w płaszczyźnie XY oraz dostępnych zarówno dla skanu spiralnego jaki i </w:t>
            </w:r>
            <w:proofErr w:type="spellStart"/>
            <w:r>
              <w:t>aksjalnego</w:t>
            </w:r>
            <w:proofErr w:type="spellEnd"/>
            <w:r>
              <w:t xml:space="preserve">  </w:t>
            </w:r>
            <w:r>
              <w:rPr>
                <w:u w:val="single"/>
              </w:rPr>
              <w:t>&gt;</w:t>
            </w:r>
            <w:r>
              <w:t xml:space="preserve"> 2,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365409" w14:textId="77777777" w:rsidR="00E445B6" w:rsidRDefault="00A82C0A">
            <w:pPr>
              <w:jc w:val="center"/>
            </w:pPr>
            <w:r>
              <w:t>TAK,</w:t>
            </w:r>
          </w:p>
          <w:p w14:paraId="7D42CB56" w14:textId="77777777" w:rsidR="00E445B6" w:rsidRDefault="00A82C0A">
            <w:pPr>
              <w:jc w:val="center"/>
            </w:pPr>
            <w:r>
              <w:t xml:space="preserve">(podać ilość i wymiary w cm  - jeden rozmiar = 1 </w:t>
            </w:r>
            <w:r>
              <w:lastRenderedPageBreak/>
              <w:t>pole)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7F9BEE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88DAC56" w14:textId="77777777" w:rsidR="00E445B6" w:rsidRDefault="00A82C0A">
            <w:pPr>
              <w:jc w:val="center"/>
            </w:pPr>
            <w:r>
              <w:t>2 – 0 pkt</w:t>
            </w:r>
          </w:p>
          <w:p w14:paraId="1E1945E5" w14:textId="77777777" w:rsidR="00E445B6" w:rsidRDefault="00A82C0A">
            <w:pPr>
              <w:jc w:val="center"/>
            </w:pPr>
            <w:r>
              <w:t>&gt; 2 – 10 pkt</w:t>
            </w:r>
          </w:p>
        </w:tc>
      </w:tr>
    </w:tbl>
    <w:p w14:paraId="3F7A9AAA" w14:textId="77777777" w:rsidR="00E445B6" w:rsidRDefault="00E445B6"/>
    <w:tbl>
      <w:tblPr>
        <w:tblW w:w="14601" w:type="dxa"/>
        <w:tblInd w:w="-87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9"/>
        <w:gridCol w:w="1416"/>
        <w:gridCol w:w="2555"/>
        <w:gridCol w:w="4540"/>
      </w:tblGrid>
      <w:tr w:rsidR="00E445B6" w14:paraId="4218916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8C53A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7337F0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Możliwość wykonywania skanu </w:t>
            </w:r>
            <w:proofErr w:type="spellStart"/>
            <w:r>
              <w:rPr>
                <w:bCs/>
              </w:rPr>
              <w:t>aksjalnego</w:t>
            </w:r>
            <w:proofErr w:type="spellEnd"/>
            <w:r>
              <w:rPr>
                <w:bCs/>
              </w:rPr>
              <w:t xml:space="preserve"> z </w:t>
            </w:r>
            <w:proofErr w:type="spellStart"/>
            <w:r>
              <w:rPr>
                <w:bCs/>
              </w:rPr>
              <w:t>gantry</w:t>
            </w:r>
            <w:proofErr w:type="spellEnd"/>
            <w:r>
              <w:rPr>
                <w:bCs/>
              </w:rPr>
              <w:t xml:space="preserve"> pochylonym w pełnym oferowanym zakresie i uzyskania w pełni diagnostycznych obrazów z akwizycji wykonywanej w ten sposób.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35EA73" w14:textId="77777777" w:rsidR="00E445B6" w:rsidRDefault="00A82C0A">
            <w:pPr>
              <w:jc w:val="center"/>
            </w:pPr>
            <w:r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7005C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9AB8DA" w14:textId="77777777" w:rsidR="00E445B6" w:rsidRDefault="00A82C0A">
            <w:pPr>
              <w:jc w:val="center"/>
            </w:pPr>
            <w:r>
              <w:t>TAK – 10 pkt</w:t>
            </w:r>
          </w:p>
          <w:p w14:paraId="3BB24BF4" w14:textId="77777777" w:rsidR="00E445B6" w:rsidRDefault="00A82C0A">
            <w:pPr>
              <w:jc w:val="center"/>
            </w:pPr>
            <w:r>
              <w:t>NIE – 0 pkt</w:t>
            </w:r>
          </w:p>
        </w:tc>
      </w:tr>
      <w:tr w:rsidR="00E445B6" w14:paraId="341B352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8FEED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CBA68D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Możliwość wykonywania skanu spiralnego z </w:t>
            </w:r>
            <w:proofErr w:type="spellStart"/>
            <w:r>
              <w:rPr>
                <w:bCs/>
              </w:rPr>
              <w:t>gantry</w:t>
            </w:r>
            <w:proofErr w:type="spellEnd"/>
            <w:r>
              <w:rPr>
                <w:bCs/>
              </w:rPr>
              <w:t xml:space="preserve"> pochylonym w pełnym oferowanym zakresie i uzyskania w pełni diagnostycznych obrazów w tym badań głowy, kręgosłupa z akwizycji wykonywanej w ten sposób.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C111EA" w14:textId="77777777" w:rsidR="00E445B6" w:rsidRDefault="00A82C0A">
            <w:pPr>
              <w:jc w:val="center"/>
            </w:pPr>
            <w:r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D91BAC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F074AE8" w14:textId="77777777" w:rsidR="00E445B6" w:rsidRDefault="00A82C0A">
            <w:pPr>
              <w:jc w:val="center"/>
            </w:pPr>
            <w:r>
              <w:t>TAK – 10 pkt</w:t>
            </w:r>
          </w:p>
          <w:p w14:paraId="65D193AD" w14:textId="77777777" w:rsidR="00E445B6" w:rsidRDefault="00A82C0A">
            <w:pPr>
              <w:jc w:val="center"/>
            </w:pPr>
            <w:r>
              <w:t>NIE– 0 pkt</w:t>
            </w:r>
          </w:p>
        </w:tc>
      </w:tr>
      <w:tr w:rsidR="00E445B6" w14:paraId="68248DE0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D3FDA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B7B920" w14:textId="77777777" w:rsidR="00E445B6" w:rsidRDefault="00A82C0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Specjalny tryb akwizycji danych obrazowych zwiększający ochronę szczególnie wrażliwych organów np. oczu, tarczycy, piersi itp.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45F450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BA8C4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A4A397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008438C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63C92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828C3E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Modulacja promieniowania </w:t>
            </w:r>
            <w:proofErr w:type="spellStart"/>
            <w:r>
              <w:rPr>
                <w:bCs/>
              </w:rPr>
              <w:t>rtg</w:t>
            </w:r>
            <w:proofErr w:type="spellEnd"/>
            <w:r>
              <w:rPr>
                <w:bCs/>
              </w:rPr>
              <w:t xml:space="preserve"> w zależności od rzeczywistej pochłanialności badanej anatomii, aktualizowana w czasie rzeczywistym w trakcie skanowania, w osiach x ,y, z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F0032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B5DCA3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DE4185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17F19D38" w14:textId="77777777">
        <w:trPr>
          <w:trHeight w:val="26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83CDC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79A202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Automatyczny dobór napięcia anodowego w zależności od badanej anatomii i rodzaju badania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4908F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E97DDC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8E5F7A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5C52E8E0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29354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EDA6A7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Dynamiczny kolimator, ograniczający promieniowanie w osi Z na początku i końcu skanu spiralnego, pozwalający uniknąć naświetlenia obszaru ciała pacjenta, który nie jest poddany badaniu.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1F47E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16770F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E243E1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336278C2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BCC6E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2814A4" w14:textId="3CE3326E" w:rsidR="00E445B6" w:rsidRDefault="00A82C0A" w:rsidP="000D0B86">
            <w:pPr>
              <w:rPr>
                <w:lang w:eastAsia="zh-CN"/>
              </w:rPr>
            </w:pPr>
            <w:r w:rsidRPr="000D0B86">
              <w:rPr>
                <w:color w:val="FF0000"/>
                <w:lang w:eastAsia="zh-CN"/>
              </w:rPr>
              <w:t>Dodatkowy filtr dedykowany do eliminacji promieniowania o niższych od wykorzystywanych energiach ograniczenia dawki promieniowania i optymalnej jakości obrazów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ACA761" w14:textId="77777777" w:rsidR="00E445B6" w:rsidRDefault="00A82C0A">
            <w:pPr>
              <w:jc w:val="center"/>
            </w:pPr>
            <w:r>
              <w:t>TAK</w:t>
            </w:r>
          </w:p>
          <w:p w14:paraId="329DF8E0" w14:textId="77777777" w:rsidR="00E445B6" w:rsidRDefault="00E445B6">
            <w:pPr>
              <w:jc w:val="center"/>
              <w:rPr>
                <w:rFonts w:eastAsia="Arial Narrow"/>
              </w:rPr>
            </w:pP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616B89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674F85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742F3F0C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BF835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1E8AC7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Iteracyjny algorytm rekonstrukcji, automatycznie przetwarzający wielokrotnie te same surowe dane (RAW) w cyklach iteracyjnych, poprawiający co najmniej jakość obrazu i rozdzielczość </w:t>
            </w:r>
            <w:proofErr w:type="spellStart"/>
            <w:r>
              <w:rPr>
                <w:bCs/>
              </w:rPr>
              <w:t>niskokontrastową</w:t>
            </w:r>
            <w:proofErr w:type="spellEnd"/>
            <w:r>
              <w:rPr>
                <w:bCs/>
              </w:rPr>
              <w:t xml:space="preserve"> oraz pozwalający na redukcję dawki promieniowania bez pogorszenia jakości obrazu.</w:t>
            </w:r>
            <w:r>
              <w:t xml:space="preserve"> </w:t>
            </w:r>
            <w:r>
              <w:rPr>
                <w:bCs/>
              </w:rPr>
              <w:t>Algorytm automatycznie (bez udziału operatora) dostosowuje dawkę do założonej jakości obrazu. Algorytm iteracyjny zintegrowany z system automatycznej kontroli ekspozycji (AEC)</w:t>
            </w:r>
          </w:p>
          <w:p w14:paraId="3FBEDCE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Algorytm możliwy do wykorzystani we wszystkich trybach i rodzajach badań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2D068D" w14:textId="77777777" w:rsidR="00E445B6" w:rsidRDefault="00A82C0A">
            <w:pPr>
              <w:jc w:val="center"/>
            </w:pPr>
            <w:r>
              <w:t>TAK</w:t>
            </w:r>
          </w:p>
          <w:p w14:paraId="1260FC08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DB18A36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100227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2A20624C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92A7F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43A632" w14:textId="77777777" w:rsidR="00E445B6" w:rsidRDefault="00A82C0A">
            <w:r>
              <w:t>Prędkość rekonstrukcji z wykorzystaniem algorytmu iteracyjnego zaoferowanego w punkcie powyżej, w matrycy 512x512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4BADB9" w14:textId="4F4A5F46" w:rsidR="00E445B6" w:rsidRPr="000D0B86" w:rsidRDefault="00A82C0A">
            <w:pPr>
              <w:jc w:val="center"/>
              <w:rPr>
                <w:rFonts w:eastAsia="Arial Narrow"/>
                <w:color w:val="FF0000"/>
              </w:rPr>
            </w:pPr>
            <w:r w:rsidRPr="000D0B86">
              <w:rPr>
                <w:rFonts w:eastAsia="Arial Narrow"/>
                <w:color w:val="FF0000"/>
              </w:rPr>
              <w:t xml:space="preserve">≥ </w:t>
            </w:r>
            <w:r w:rsidR="000D0B86" w:rsidRPr="000D0B86">
              <w:rPr>
                <w:rFonts w:eastAsia="Arial Narrow"/>
                <w:color w:val="FF0000"/>
              </w:rPr>
              <w:t>55</w:t>
            </w:r>
            <w:r w:rsidRPr="000D0B86">
              <w:rPr>
                <w:rFonts w:eastAsia="Arial Narrow"/>
                <w:color w:val="FF0000"/>
              </w:rPr>
              <w:t xml:space="preserve"> </w:t>
            </w:r>
            <w:proofErr w:type="spellStart"/>
            <w:r w:rsidRPr="000D0B86">
              <w:rPr>
                <w:rFonts w:eastAsia="Arial Narrow"/>
                <w:color w:val="FF0000"/>
              </w:rPr>
              <w:t>obr</w:t>
            </w:r>
            <w:proofErr w:type="spellEnd"/>
            <w:r w:rsidRPr="000D0B86">
              <w:rPr>
                <w:rFonts w:eastAsia="Arial Narrow"/>
                <w:color w:val="FF0000"/>
              </w:rPr>
              <w:t>/s</w:t>
            </w:r>
          </w:p>
          <w:p w14:paraId="145458B8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DC3B67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BC3980" w14:textId="77777777" w:rsidR="000D0B86" w:rsidRPr="000D0B86" w:rsidRDefault="000D0B86">
            <w:pPr>
              <w:jc w:val="center"/>
              <w:rPr>
                <w:color w:val="FF0000"/>
              </w:rPr>
            </w:pPr>
            <w:r w:rsidRPr="000D0B86">
              <w:rPr>
                <w:color w:val="FF0000"/>
              </w:rPr>
              <w:t xml:space="preserve">55 </w:t>
            </w:r>
            <w:proofErr w:type="spellStart"/>
            <w:r w:rsidRPr="000D0B86">
              <w:rPr>
                <w:color w:val="FF0000"/>
              </w:rPr>
              <w:t>obr</w:t>
            </w:r>
            <w:proofErr w:type="spellEnd"/>
            <w:r w:rsidRPr="000D0B86">
              <w:rPr>
                <w:color w:val="FF0000"/>
              </w:rPr>
              <w:t>/s- 0 pkt</w:t>
            </w:r>
          </w:p>
          <w:p w14:paraId="55DF8681" w14:textId="401862B1" w:rsidR="00E445B6" w:rsidRPr="000D0B86" w:rsidRDefault="000D0B86">
            <w:pPr>
              <w:jc w:val="center"/>
              <w:rPr>
                <w:color w:val="FF0000"/>
              </w:rPr>
            </w:pPr>
            <w:r w:rsidRPr="000D0B86">
              <w:rPr>
                <w:color w:val="FF0000"/>
              </w:rPr>
              <w:t xml:space="preserve">&gt;55 </w:t>
            </w:r>
            <w:proofErr w:type="spellStart"/>
            <w:r w:rsidRPr="000D0B86">
              <w:rPr>
                <w:color w:val="FF0000"/>
              </w:rPr>
              <w:t>obr</w:t>
            </w:r>
            <w:proofErr w:type="spellEnd"/>
            <w:r w:rsidRPr="000D0B86">
              <w:rPr>
                <w:color w:val="FF0000"/>
              </w:rPr>
              <w:t xml:space="preserve">/s i </w:t>
            </w:r>
            <w:r w:rsidRPr="000D0B86">
              <w:rPr>
                <w:color w:val="FF0000"/>
                <w:u w:val="single"/>
              </w:rPr>
              <w:t>&lt;</w:t>
            </w:r>
            <w:r w:rsidRPr="000D0B86">
              <w:rPr>
                <w:color w:val="FF0000"/>
              </w:rPr>
              <w:t xml:space="preserve"> </w:t>
            </w:r>
            <w:r w:rsidR="00A82C0A" w:rsidRPr="000D0B86">
              <w:rPr>
                <w:color w:val="FF0000"/>
              </w:rPr>
              <w:t xml:space="preserve">70 </w:t>
            </w:r>
            <w:proofErr w:type="spellStart"/>
            <w:r w:rsidR="00A82C0A" w:rsidRPr="000D0B86">
              <w:rPr>
                <w:color w:val="FF0000"/>
              </w:rPr>
              <w:t>obr</w:t>
            </w:r>
            <w:proofErr w:type="spellEnd"/>
            <w:r w:rsidR="00A82C0A" w:rsidRPr="000D0B86">
              <w:rPr>
                <w:color w:val="FF0000"/>
              </w:rPr>
              <w:t xml:space="preserve">/s – </w:t>
            </w:r>
            <w:r w:rsidR="00EB58F1">
              <w:rPr>
                <w:color w:val="FF0000"/>
              </w:rPr>
              <w:t>2</w:t>
            </w:r>
            <w:r w:rsidR="00A82C0A" w:rsidRPr="000D0B86">
              <w:rPr>
                <w:color w:val="FF0000"/>
              </w:rPr>
              <w:t xml:space="preserve"> pkt</w:t>
            </w:r>
          </w:p>
          <w:p w14:paraId="7B37E385" w14:textId="446F2E1C" w:rsidR="00E445B6" w:rsidRDefault="00A82C0A" w:rsidP="00EB58F1">
            <w:pPr>
              <w:jc w:val="center"/>
            </w:pPr>
            <w:r w:rsidRPr="000D0B86">
              <w:rPr>
                <w:color w:val="FF0000"/>
              </w:rPr>
              <w:t xml:space="preserve">&gt; 70 </w:t>
            </w:r>
            <w:proofErr w:type="spellStart"/>
            <w:r w:rsidRPr="000D0B86">
              <w:rPr>
                <w:color w:val="FF0000"/>
              </w:rPr>
              <w:t>obr</w:t>
            </w:r>
            <w:proofErr w:type="spellEnd"/>
            <w:r w:rsidRPr="000D0B86">
              <w:rPr>
                <w:color w:val="FF0000"/>
              </w:rPr>
              <w:t xml:space="preserve">/s – </w:t>
            </w:r>
            <w:r w:rsidR="00EB58F1">
              <w:rPr>
                <w:color w:val="FF0000"/>
              </w:rPr>
              <w:t>5</w:t>
            </w:r>
            <w:r w:rsidRPr="000D0B86">
              <w:rPr>
                <w:color w:val="FF0000"/>
              </w:rPr>
              <w:t xml:space="preserve"> pkt</w:t>
            </w:r>
          </w:p>
        </w:tc>
      </w:tr>
      <w:tr w:rsidR="00E445B6" w14:paraId="13C2862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67D68D" w14:textId="37F69148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9EAA01" w14:textId="77777777" w:rsidR="00E445B6" w:rsidRPr="00E86B6F" w:rsidRDefault="00A82C0A">
            <w:pPr>
              <w:rPr>
                <w:strike/>
                <w:color w:val="FF0000"/>
              </w:rPr>
            </w:pPr>
            <w:r w:rsidRPr="00E86B6F">
              <w:rPr>
                <w:strike/>
                <w:color w:val="FF0000"/>
              </w:rPr>
              <w:t xml:space="preserve">Zawansowany algorytm rekonstrukcji iteracyjnej MBIR(Model </w:t>
            </w:r>
            <w:proofErr w:type="spellStart"/>
            <w:r w:rsidRPr="00E86B6F">
              <w:rPr>
                <w:strike/>
                <w:color w:val="FF0000"/>
              </w:rPr>
              <w:t>Based</w:t>
            </w:r>
            <w:proofErr w:type="spellEnd"/>
            <w:r w:rsidRPr="00E86B6F">
              <w:rPr>
                <w:strike/>
                <w:color w:val="FF0000"/>
              </w:rPr>
              <w:t xml:space="preserve"> </w:t>
            </w:r>
            <w:proofErr w:type="spellStart"/>
            <w:r w:rsidRPr="00E86B6F">
              <w:rPr>
                <w:strike/>
                <w:color w:val="FF0000"/>
              </w:rPr>
              <w:t>Iterative</w:t>
            </w:r>
            <w:proofErr w:type="spellEnd"/>
            <w:r w:rsidRPr="00E86B6F">
              <w:rPr>
                <w:strike/>
                <w:color w:val="FF0000"/>
              </w:rPr>
              <w:t xml:space="preserve"> </w:t>
            </w:r>
            <w:proofErr w:type="spellStart"/>
            <w:r w:rsidRPr="00E86B6F">
              <w:rPr>
                <w:strike/>
                <w:color w:val="FF0000"/>
              </w:rPr>
              <w:t>Reconstruction</w:t>
            </w:r>
            <w:proofErr w:type="spellEnd"/>
            <w:r w:rsidRPr="00E86B6F">
              <w:rPr>
                <w:strike/>
                <w:color w:val="FF0000"/>
              </w:rPr>
              <w:t xml:space="preserve">) </w:t>
            </w:r>
            <w:proofErr w:type="spellStart"/>
            <w:r w:rsidRPr="00E86B6F">
              <w:rPr>
                <w:strike/>
                <w:color w:val="FF0000"/>
              </w:rPr>
              <w:t>Algorithm</w:t>
            </w:r>
            <w:proofErr w:type="spellEnd"/>
            <w:r w:rsidRPr="00E86B6F">
              <w:rPr>
                <w:strike/>
                <w:color w:val="FF0000"/>
              </w:rPr>
              <w:t>) umożliwiającej redukcję dawki promieniowania we wszystkich dostępnych</w:t>
            </w:r>
          </w:p>
          <w:p w14:paraId="52ECA67A" w14:textId="77777777" w:rsidR="00E445B6" w:rsidRPr="00E86B6F" w:rsidRDefault="00A82C0A">
            <w:pPr>
              <w:rPr>
                <w:strike/>
                <w:color w:val="FF0000"/>
              </w:rPr>
            </w:pPr>
            <w:r w:rsidRPr="00E86B6F">
              <w:rPr>
                <w:strike/>
                <w:color w:val="FF0000"/>
              </w:rPr>
              <w:t>badaniach w relacji do standardowej metody rekonstrukcji z zachowaniem tej samej</w:t>
            </w:r>
          </w:p>
          <w:p w14:paraId="5BBB8669" w14:textId="77777777" w:rsidR="00E445B6" w:rsidRDefault="00A82C0A">
            <w:r w:rsidRPr="00E86B6F">
              <w:rPr>
                <w:strike/>
                <w:color w:val="FF0000"/>
              </w:rPr>
              <w:t>jakości obrazu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206028" w14:textId="77777777" w:rsidR="00E445B6" w:rsidRPr="00E86B6F" w:rsidRDefault="00A82C0A">
            <w:pPr>
              <w:jc w:val="center"/>
              <w:rPr>
                <w:rFonts w:eastAsia="Arial Narrow"/>
                <w:strike/>
                <w:color w:val="FF0000"/>
              </w:rPr>
            </w:pPr>
            <w:r w:rsidRPr="00E86B6F">
              <w:rPr>
                <w:rFonts w:eastAsia="Arial Narrow"/>
                <w:strike/>
                <w:color w:val="FF0000"/>
              </w:rPr>
              <w:t>TAK</w:t>
            </w:r>
          </w:p>
          <w:p w14:paraId="2915BB98" w14:textId="77777777" w:rsidR="00E445B6" w:rsidRDefault="00A82C0A">
            <w:pPr>
              <w:jc w:val="center"/>
              <w:rPr>
                <w:rFonts w:eastAsia="Arial Narrow"/>
              </w:rPr>
            </w:pPr>
            <w:r w:rsidRPr="00E86B6F">
              <w:rPr>
                <w:rFonts w:eastAsia="Arial Narrow"/>
                <w:strike/>
                <w:color w:val="FF0000"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CA809F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B53BC4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2881AD99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A23A2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9CA5EE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Najnowszej generacji algorytm rekonstrukcyjny sztucznej inteligencji (AI) oparty o sieć neuronową, wykorzystujący technologię głębokiego uczenia, (</w:t>
            </w:r>
            <w:proofErr w:type="spellStart"/>
            <w:r>
              <w:rPr>
                <w:bCs/>
              </w:rPr>
              <w:t>Deep</w:t>
            </w:r>
            <w:proofErr w:type="spellEnd"/>
            <w:r>
              <w:rPr>
                <w:bCs/>
              </w:rPr>
              <w:t xml:space="preserve"> Learning </w:t>
            </w:r>
            <w:proofErr w:type="spellStart"/>
            <w:r>
              <w:rPr>
                <w:bCs/>
              </w:rPr>
              <w:t>Reconstruction</w:t>
            </w:r>
            <w:proofErr w:type="spellEnd"/>
            <w:r>
              <w:rPr>
                <w:bCs/>
              </w:rPr>
              <w:t>) umożliwiający uzyskiwane obrazów o bardzo niskim poziomem szumu, wysokiej rozdzielczości anatomicznej oraz jednorodnością przy zachowaniu jak najniższych poziomów dawek (w porównaniu do innych algorytmów rekonstrukcyjnych ( w tym iteracyjnych zaoferowanych w niniejszym systemie)</w:t>
            </w:r>
          </w:p>
          <w:p w14:paraId="7E968029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lastRenderedPageBreak/>
              <w:t>Możliwość zastosowania algorytmu w wielu obszarach ciała, w tym dla mózgu, płuc, serca, układu mięśniowo-szkieletowego itd.</w:t>
            </w:r>
          </w:p>
          <w:p w14:paraId="6EBFA9E4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(Potwierdzone oficjalnymi materiałami producenta, dostępne na dzień składania ofert)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9E5798D" w14:textId="77777777" w:rsidR="00E445B6" w:rsidRDefault="00A82C0A">
            <w:pPr>
              <w:jc w:val="center"/>
            </w:pPr>
            <w:r>
              <w:lastRenderedPageBreak/>
              <w:t>TAK,</w:t>
            </w:r>
          </w:p>
          <w:p w14:paraId="0374FB7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DF53D4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9FB8D1" w14:textId="77777777" w:rsidR="00E445B6" w:rsidRDefault="00E445B6">
            <w:pPr>
              <w:rPr>
                <w:bCs/>
              </w:rPr>
            </w:pPr>
          </w:p>
          <w:p w14:paraId="55820ABB" w14:textId="77777777" w:rsidR="00E445B6" w:rsidRDefault="00E445B6">
            <w:pPr>
              <w:rPr>
                <w:bCs/>
              </w:rPr>
            </w:pPr>
          </w:p>
          <w:p w14:paraId="78E29BD8" w14:textId="77777777" w:rsidR="00E445B6" w:rsidRDefault="00E445B6">
            <w:pPr>
              <w:jc w:val="center"/>
              <w:rPr>
                <w:u w:val="single"/>
              </w:rPr>
            </w:pPr>
          </w:p>
        </w:tc>
      </w:tr>
      <w:tr w:rsidR="00E445B6" w14:paraId="04B091A6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ED917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F13AC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Prędkość rekonstrukcji obrazów w wykorzystaniem algorytmu zaoferowanego w punkcie powyżej </w:t>
            </w:r>
            <w:r>
              <w:rPr>
                <w:bCs/>
                <w:u w:val="single"/>
              </w:rPr>
              <w:t>&gt;</w:t>
            </w:r>
            <w:r>
              <w:rPr>
                <w:bCs/>
              </w:rPr>
              <w:t xml:space="preserve"> 35 </w:t>
            </w:r>
            <w:proofErr w:type="spellStart"/>
            <w:r>
              <w:rPr>
                <w:bCs/>
              </w:rPr>
              <w:t>obr</w:t>
            </w:r>
            <w:proofErr w:type="spellEnd"/>
            <w:r>
              <w:rPr>
                <w:bCs/>
              </w:rPr>
              <w:t>/s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688389" w14:textId="77777777" w:rsidR="00E445B6" w:rsidRDefault="00A82C0A">
            <w:pPr>
              <w:jc w:val="center"/>
            </w:pPr>
            <w:r>
              <w:t>TAK/NIE</w:t>
            </w:r>
          </w:p>
          <w:p w14:paraId="0A8B1529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B77913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DAC83B3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TAK – 10 pkt</w:t>
            </w:r>
          </w:p>
          <w:p w14:paraId="3E4553E7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NIE – 0 pkt</w:t>
            </w:r>
          </w:p>
        </w:tc>
      </w:tr>
      <w:tr w:rsidR="00E445B6" w14:paraId="60B3DBC6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D040C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520A54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Algorytm oparty o sieć neuronową uczoną w oparciu o obrazy pacjentów (nie obrazy fantomów)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6311E8" w14:textId="77777777" w:rsidR="00E445B6" w:rsidRDefault="00A82C0A">
            <w:pPr>
              <w:jc w:val="center"/>
            </w:pPr>
            <w:r>
              <w:t>TAK/NIE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B2BF81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69A9FB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TAK – 10 pkt</w:t>
            </w:r>
          </w:p>
          <w:p w14:paraId="11AACE2A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NIE – 0 pkt</w:t>
            </w:r>
          </w:p>
        </w:tc>
      </w:tr>
      <w:tr w:rsidR="00E445B6" w14:paraId="57BBDAD7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0335C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344234" w14:textId="77777777" w:rsidR="00E445B6" w:rsidRDefault="00A82C0A">
            <w:r>
              <w:t>Minimalny czas pełnego skanu (obrotu układu lampa detektor o 360°)  dla wszystkich rodzajów badań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DCB669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>≤ 0,</w:t>
            </w:r>
            <w:r>
              <w:t>28 s</w:t>
            </w:r>
          </w:p>
          <w:p w14:paraId="724E94BC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ACF226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D26D67" w14:textId="77777777" w:rsidR="00E445B6" w:rsidRDefault="00A82C0A">
            <w:pPr>
              <w:shd w:val="clear" w:color="auto" w:fill="FFFFFF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&gt; 0,25 s – 0 pkt</w:t>
            </w:r>
            <w:r>
              <w:rPr>
                <w:bCs/>
                <w:shd w:val="clear" w:color="auto" w:fill="FFFFFF"/>
              </w:rPr>
              <w:br/>
            </w:r>
            <w:r>
              <w:rPr>
                <w:bCs/>
                <w:u w:val="single"/>
                <w:shd w:val="clear" w:color="auto" w:fill="FFFFFF"/>
              </w:rPr>
              <w:t>&lt;</w:t>
            </w:r>
            <w:r>
              <w:rPr>
                <w:bCs/>
                <w:shd w:val="clear" w:color="auto" w:fill="FFFFFF"/>
              </w:rPr>
              <w:t xml:space="preserve"> 0,25 s – 20 pkt</w:t>
            </w:r>
          </w:p>
        </w:tc>
      </w:tr>
      <w:tr w:rsidR="00E445B6" w14:paraId="5D20E20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C73C7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66F984" w14:textId="77777777" w:rsidR="00E445B6" w:rsidRPr="000D0B86" w:rsidRDefault="00A82C0A">
            <w:pPr>
              <w:rPr>
                <w:strike/>
              </w:rPr>
            </w:pPr>
            <w:r w:rsidRPr="00E86B6F">
              <w:rPr>
                <w:strike/>
                <w:color w:val="FF0000"/>
              </w:rPr>
              <w:t xml:space="preserve">Rozdzielczość przestrzenna izotropowa x=y=z dla wszystkich trybów skanowania </w:t>
            </w:r>
            <w:proofErr w:type="spellStart"/>
            <w:r w:rsidRPr="00E86B6F">
              <w:rPr>
                <w:strike/>
                <w:color w:val="FF0000"/>
              </w:rPr>
              <w:t>submilimetrowego</w:t>
            </w:r>
            <w:proofErr w:type="spellEnd"/>
            <w:r w:rsidRPr="00E86B6F">
              <w:rPr>
                <w:strike/>
                <w:color w:val="FF0000"/>
              </w:rPr>
              <w:t xml:space="preserve"> [mm]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37F32D1" w14:textId="77777777" w:rsidR="00E445B6" w:rsidRPr="00E86B6F" w:rsidRDefault="00A82C0A">
            <w:pPr>
              <w:jc w:val="center"/>
              <w:rPr>
                <w:strike/>
                <w:color w:val="FF0000"/>
              </w:rPr>
            </w:pPr>
            <w:r w:rsidRPr="00E86B6F">
              <w:rPr>
                <w:rFonts w:eastAsia="Arial Narrow"/>
                <w:strike/>
                <w:color w:val="FF0000"/>
              </w:rPr>
              <w:t xml:space="preserve">≤ </w:t>
            </w:r>
            <w:r w:rsidRPr="00E86B6F">
              <w:rPr>
                <w:strike/>
                <w:color w:val="FF0000"/>
              </w:rPr>
              <w:t>0,33 mm</w:t>
            </w:r>
          </w:p>
          <w:p w14:paraId="61CD4B0C" w14:textId="77777777" w:rsidR="00E445B6" w:rsidRDefault="00A82C0A">
            <w:pPr>
              <w:jc w:val="center"/>
            </w:pPr>
            <w:r w:rsidRPr="00E86B6F">
              <w:rPr>
                <w:strike/>
                <w:color w:val="FF0000"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C5045F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457166" w14:textId="77777777" w:rsidR="00E445B6" w:rsidRPr="00E86B6F" w:rsidRDefault="00A82C0A">
            <w:pPr>
              <w:jc w:val="center"/>
              <w:rPr>
                <w:strike/>
                <w:color w:val="FF0000"/>
              </w:rPr>
            </w:pPr>
            <w:r w:rsidRPr="00E86B6F">
              <w:rPr>
                <w:strike/>
                <w:color w:val="FF0000"/>
              </w:rPr>
              <w:t>0,330 mm – 0 pkt</w:t>
            </w:r>
          </w:p>
          <w:p w14:paraId="331C3B6F" w14:textId="77777777" w:rsidR="00E445B6" w:rsidRDefault="00A82C0A">
            <w:pPr>
              <w:jc w:val="center"/>
            </w:pPr>
            <w:r w:rsidRPr="00E86B6F">
              <w:rPr>
                <w:rFonts w:eastAsia="Arial Narrow"/>
                <w:strike/>
                <w:color w:val="FF0000"/>
              </w:rPr>
              <w:t xml:space="preserve">&lt; </w:t>
            </w:r>
            <w:r w:rsidRPr="00E86B6F">
              <w:rPr>
                <w:strike/>
                <w:color w:val="FF0000"/>
              </w:rPr>
              <w:t>0,330 mm – 10 pkt</w:t>
            </w:r>
          </w:p>
        </w:tc>
      </w:tr>
      <w:tr w:rsidR="00E445B6" w14:paraId="0EC0453F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8BCBB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12BC30" w14:textId="77777777" w:rsidR="00E445B6" w:rsidRDefault="00A82C0A">
            <w:r>
              <w:t>Grubość najcieńszej dostępnej warstwy przy akwizycji z maksymalną liczbą zaoferowanych warstw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CA6AB0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≤ </w:t>
            </w:r>
            <w:r>
              <w:t>0,625 mm</w:t>
            </w:r>
          </w:p>
          <w:p w14:paraId="286B8F1F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5E600B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976049" w14:textId="77777777" w:rsidR="00E445B6" w:rsidRDefault="00A82C0A">
            <w:pPr>
              <w:jc w:val="center"/>
            </w:pPr>
            <w:r>
              <w:t>0,625 mm – 0 pkt</w:t>
            </w:r>
          </w:p>
          <w:p w14:paraId="3655A5A4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&lt; </w:t>
            </w:r>
            <w:r>
              <w:t>0,625 mm – 10 pkt</w:t>
            </w:r>
          </w:p>
        </w:tc>
      </w:tr>
      <w:tr w:rsidR="00E445B6" w14:paraId="3963EA0B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2D2C0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right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FDB2A0" w14:textId="77777777" w:rsidR="00E445B6" w:rsidRDefault="00A82C0A">
            <w:r>
              <w:t>Maksymalna rozdzielczość wysokokontrastowa [</w:t>
            </w:r>
            <w:proofErr w:type="spellStart"/>
            <w:r>
              <w:t>pl</w:t>
            </w:r>
            <w:proofErr w:type="spellEnd"/>
            <w:r>
              <w:t>/cm] przy min. 256 jednocześnie zbieranych warstwach w czasie pełnego skanu w matrycy 512 x 512 w płaszczyźnie XY w polu akwizycyjnym 50cm dla 2% MTF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BA678F" w14:textId="77777777" w:rsidR="00E445B6" w:rsidRDefault="00A82C0A">
            <w:pPr>
              <w:jc w:val="center"/>
            </w:pPr>
            <w:r>
              <w:rPr>
                <w:u w:val="single"/>
              </w:rPr>
              <w:t>&gt;</w:t>
            </w:r>
            <w:r>
              <w:t xml:space="preserve"> 15,0 </w:t>
            </w:r>
            <w:proofErr w:type="spellStart"/>
            <w:r>
              <w:t>pl</w:t>
            </w:r>
            <w:proofErr w:type="spellEnd"/>
            <w:r>
              <w:t>/cm</w:t>
            </w:r>
          </w:p>
          <w:p w14:paraId="6923D088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03EDB7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C34612" w14:textId="77777777" w:rsidR="00E445B6" w:rsidRDefault="00E445B6">
            <w:pPr>
              <w:jc w:val="center"/>
            </w:pPr>
          </w:p>
        </w:tc>
      </w:tr>
      <w:tr w:rsidR="00E445B6" w14:paraId="56C6E358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16891A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9693E0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Maksymalna matryca rekonstrukcyjna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B39B4B" w14:textId="77777777" w:rsidR="00E445B6" w:rsidRDefault="00A82C0A">
            <w:pPr>
              <w:jc w:val="center"/>
              <w:rPr>
                <w:bCs/>
              </w:rPr>
            </w:pPr>
            <w:r>
              <w:rPr>
                <w:rFonts w:eastAsia="Arial Narrow"/>
                <w:bCs/>
              </w:rPr>
              <w:t xml:space="preserve">≥ </w:t>
            </w:r>
            <w:r>
              <w:rPr>
                <w:bCs/>
              </w:rPr>
              <w:t>512 x 512 [piksel x piksel].</w:t>
            </w:r>
          </w:p>
          <w:p w14:paraId="24595874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A30EB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4E949F" w14:textId="77777777" w:rsidR="00E445B6" w:rsidRPr="00E86B6F" w:rsidRDefault="000D0B86" w:rsidP="000D0B86">
            <w:pPr>
              <w:jc w:val="center"/>
              <w:rPr>
                <w:color w:val="FF0000"/>
              </w:rPr>
            </w:pPr>
            <w:r w:rsidRPr="00E86B6F">
              <w:rPr>
                <w:rFonts w:eastAsia="Arial Narrow"/>
                <w:color w:val="FF0000"/>
              </w:rPr>
              <w:t xml:space="preserve">&lt; </w:t>
            </w:r>
            <w:r w:rsidRPr="00E86B6F">
              <w:rPr>
                <w:color w:val="FF0000"/>
              </w:rPr>
              <w:t>1024x1024 – 0 pkt</w:t>
            </w:r>
          </w:p>
          <w:p w14:paraId="1477E633" w14:textId="1978DF14" w:rsidR="000D0B86" w:rsidRDefault="000D0B86" w:rsidP="00EB58F1">
            <w:pPr>
              <w:jc w:val="center"/>
            </w:pPr>
            <w:r w:rsidRPr="00E86B6F">
              <w:rPr>
                <w:color w:val="FF0000"/>
              </w:rPr>
              <w:t xml:space="preserve">≥ </w:t>
            </w:r>
            <w:r w:rsidRPr="00E86B6F">
              <w:rPr>
                <w:bCs/>
                <w:color w:val="FF0000"/>
                <w:shd w:val="clear" w:color="auto" w:fill="FFFFFF"/>
              </w:rPr>
              <w:t xml:space="preserve"> 1024x1024 – </w:t>
            </w:r>
            <w:r w:rsidR="00EB58F1">
              <w:rPr>
                <w:bCs/>
                <w:color w:val="FF0000"/>
                <w:shd w:val="clear" w:color="auto" w:fill="FFFFFF"/>
              </w:rPr>
              <w:t>5</w:t>
            </w:r>
            <w:r w:rsidRPr="00E86B6F">
              <w:rPr>
                <w:bCs/>
                <w:color w:val="FF0000"/>
                <w:shd w:val="clear" w:color="auto" w:fill="FFFFFF"/>
              </w:rPr>
              <w:t xml:space="preserve"> pkt</w:t>
            </w:r>
            <w:r w:rsidRPr="00E86B6F">
              <w:rPr>
                <w:bCs/>
                <w:color w:val="FF0000"/>
                <w:shd w:val="clear" w:color="auto" w:fill="FFFFFF"/>
              </w:rPr>
              <w:br/>
            </w:r>
          </w:p>
        </w:tc>
      </w:tr>
      <w:tr w:rsidR="00E445B6" w14:paraId="7E42012B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0C7AA1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C93194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Maksymalna matryca prezentacyjna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7FD25B" w14:textId="77777777" w:rsidR="00E445B6" w:rsidRDefault="00A82C0A">
            <w:pPr>
              <w:jc w:val="center"/>
              <w:rPr>
                <w:bCs/>
              </w:rPr>
            </w:pPr>
            <w:r>
              <w:rPr>
                <w:rFonts w:eastAsia="Arial Narrow"/>
                <w:bCs/>
              </w:rPr>
              <w:t xml:space="preserve">≥ </w:t>
            </w:r>
            <w:r>
              <w:rPr>
                <w:bCs/>
              </w:rPr>
              <w:t>1024 x 1024 [piksel x piksel]</w:t>
            </w:r>
          </w:p>
          <w:p w14:paraId="23B5D3DD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8D80DB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C95148B" w14:textId="77777777" w:rsidR="00E445B6" w:rsidRDefault="00E445B6">
            <w:pPr>
              <w:jc w:val="center"/>
            </w:pPr>
          </w:p>
        </w:tc>
      </w:tr>
      <w:tr w:rsidR="00E445B6" w14:paraId="67136627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533C562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2816B1" w14:textId="77777777" w:rsidR="00E445B6" w:rsidRDefault="00A82C0A">
            <w:pPr>
              <w:pStyle w:val="redniasiatka21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Dawka (CTDI vol) konieczna do uzyskania rozdzielczości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niskokontrastowej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wizualnej (niestatystycznej)  - 3 mm mierzonej w polu akwizycyjnym nie mniejszym niż 50 cm, dla fantomu CATPHAN 20 cm, przy warstwie ≤ 10 mm i różnicy gęstości kontrastu 3 HU i dla napięcia maks. 120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mGy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], w płaszczyźnie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i uzyskana z wykorzystaniem zaoferowanego algorytmu rekonstrukcyjnego redukującego dawkę lub bez.</w:t>
            </w:r>
          </w:p>
          <w:p w14:paraId="12FB7931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(Wartość potwierdzona w oficjalnych materiałach producenta dołączonych do oferty).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650E10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>≤</w:t>
            </w:r>
            <w:r>
              <w:t>25,0mGy</w:t>
            </w:r>
          </w:p>
          <w:p w14:paraId="43D95DAB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EB4B82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BC5A4C" w14:textId="77777777" w:rsidR="00E445B6" w:rsidRDefault="00A82C0A">
            <w:pPr>
              <w:jc w:val="center"/>
            </w:pPr>
            <w:r>
              <w:t xml:space="preserve">&gt;17,0 </w:t>
            </w:r>
            <w:proofErr w:type="spellStart"/>
            <w:r>
              <w:t>mGy</w:t>
            </w:r>
            <w:proofErr w:type="spellEnd"/>
            <w:r>
              <w:t xml:space="preserve">  i </w:t>
            </w:r>
            <w:r>
              <w:rPr>
                <w:rFonts w:eastAsia="Arial Narrow"/>
              </w:rPr>
              <w:t>≤</w:t>
            </w:r>
            <w:r>
              <w:t xml:space="preserve">25,0 </w:t>
            </w:r>
            <w:proofErr w:type="spellStart"/>
            <w:r>
              <w:t>mGy</w:t>
            </w:r>
            <w:proofErr w:type="spellEnd"/>
            <w:r>
              <w:t xml:space="preserve"> – 0 pkt</w:t>
            </w:r>
          </w:p>
          <w:p w14:paraId="41E0E58F" w14:textId="77777777" w:rsidR="00E445B6" w:rsidRDefault="00A82C0A">
            <w:pPr>
              <w:jc w:val="center"/>
            </w:pPr>
            <w:r>
              <w:rPr>
                <w:rFonts w:eastAsia="Arial Narrow"/>
                <w:u w:val="single"/>
              </w:rPr>
              <w:t>&gt;</w:t>
            </w:r>
            <w:r>
              <w:rPr>
                <w:rFonts w:eastAsia="Arial Narrow"/>
              </w:rPr>
              <w:t xml:space="preserve">7,0 </w:t>
            </w:r>
            <w:proofErr w:type="spellStart"/>
            <w:r>
              <w:rPr>
                <w:rFonts w:eastAsia="Arial Narrow"/>
              </w:rPr>
              <w:t>mGy</w:t>
            </w:r>
            <w:proofErr w:type="spellEnd"/>
            <w:r>
              <w:rPr>
                <w:rFonts w:eastAsia="Arial Narrow"/>
              </w:rPr>
              <w:t xml:space="preserve"> i ≤</w:t>
            </w:r>
            <w:r>
              <w:t xml:space="preserve">17,0 </w:t>
            </w:r>
            <w:proofErr w:type="spellStart"/>
            <w:r>
              <w:t>mGy</w:t>
            </w:r>
            <w:proofErr w:type="spellEnd"/>
            <w:r>
              <w:t>– 5 pkt</w:t>
            </w:r>
          </w:p>
          <w:p w14:paraId="6BD37185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&lt; </w:t>
            </w:r>
            <w:r>
              <w:t xml:space="preserve">7,0 </w:t>
            </w:r>
            <w:proofErr w:type="spellStart"/>
            <w:r>
              <w:t>mGy</w:t>
            </w:r>
            <w:proofErr w:type="spellEnd"/>
            <w:r>
              <w:t xml:space="preserve"> – 10 pkt</w:t>
            </w:r>
          </w:p>
          <w:p w14:paraId="29B6DB9A" w14:textId="77777777" w:rsidR="00E445B6" w:rsidRDefault="00E445B6">
            <w:pPr>
              <w:jc w:val="center"/>
            </w:pPr>
          </w:p>
        </w:tc>
      </w:tr>
      <w:tr w:rsidR="00E445B6" w14:paraId="46AA7400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42E3BF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72800B6" w14:textId="77777777" w:rsidR="00E445B6" w:rsidRDefault="00A82C0A">
            <w:pPr>
              <w:ind w:left="33" w:hanging="33"/>
            </w:pPr>
            <w:r>
              <w:rPr>
                <w:bCs/>
              </w:rPr>
              <w:t xml:space="preserve"> Dawka (CTDI vol) konieczna do uzyskania wizualnej rozdzielczości </w:t>
            </w:r>
            <w:proofErr w:type="spellStart"/>
            <w:r>
              <w:rPr>
                <w:bCs/>
              </w:rPr>
              <w:t>niskokontrastowej</w:t>
            </w:r>
            <w:proofErr w:type="spellEnd"/>
            <w:r>
              <w:rPr>
                <w:bCs/>
              </w:rPr>
              <w:t xml:space="preserve">  wizualnej (niestatystycznej)  niższej niż 2 mm mierzonej w polu akwizycyjnym  nie mniejszym niż 50 cm, dla fantomu CATPHAN 20 cm, przy warstwie ≤ 10 mm i różnicy gęstości kontrastu 3 HU i dla napięcia 120 </w:t>
            </w:r>
            <w:proofErr w:type="spellStart"/>
            <w:r>
              <w:rPr>
                <w:bCs/>
              </w:rPr>
              <w:t>kV</w:t>
            </w:r>
            <w:proofErr w:type="spellEnd"/>
            <w:r>
              <w:rPr>
                <w:bCs/>
              </w:rPr>
              <w:t xml:space="preserve"> [</w:t>
            </w:r>
            <w:proofErr w:type="spellStart"/>
            <w:r>
              <w:rPr>
                <w:bCs/>
              </w:rPr>
              <w:t>mGy</w:t>
            </w:r>
            <w:proofErr w:type="spellEnd"/>
            <w:r>
              <w:rPr>
                <w:bCs/>
              </w:rPr>
              <w:t xml:space="preserve">] w płaszczyźnie </w:t>
            </w:r>
            <w:proofErr w:type="spellStart"/>
            <w:r>
              <w:rPr>
                <w:bCs/>
              </w:rPr>
              <w:t>xy</w:t>
            </w:r>
            <w:proofErr w:type="spellEnd"/>
            <w:r>
              <w:rPr>
                <w:bCs/>
              </w:rPr>
              <w:t xml:space="preserve"> –</w:t>
            </w:r>
            <w:r>
              <w:t xml:space="preserve">≤ 25,0 </w:t>
            </w:r>
            <w:proofErr w:type="spellStart"/>
            <w:r>
              <w:t>mGy</w:t>
            </w:r>
            <w:proofErr w:type="spellEnd"/>
            <w:r>
              <w:t xml:space="preserve"> i uzyskana z wykorzystaniem zaoferowanego algorytmu rekonstrukcyjnego lub bez.</w:t>
            </w:r>
          </w:p>
          <w:p w14:paraId="74B0165D" w14:textId="77777777" w:rsidR="00E445B6" w:rsidRDefault="00A82C0A">
            <w:pPr>
              <w:ind w:left="33" w:hanging="33"/>
              <w:rPr>
                <w:bCs/>
              </w:rPr>
            </w:pPr>
            <w:r>
              <w:rPr>
                <w:bCs/>
              </w:rPr>
              <w:t>(Wartość potwierdzona w oficjalnych materiałach producenta).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56DC3B" w14:textId="77777777" w:rsidR="00E445B6" w:rsidRDefault="00A82C0A">
            <w:pPr>
              <w:ind w:left="33" w:hanging="33"/>
              <w:jc w:val="center"/>
            </w:pPr>
            <w:r>
              <w:t>TAK / NIE  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4B9361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61E92C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Nie  - 0 pkt</w:t>
            </w:r>
          </w:p>
          <w:p w14:paraId="3E3B1D6B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Jeśli TAK to:</w:t>
            </w:r>
          </w:p>
          <w:p w14:paraId="7CE462F1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&gt;21 </w:t>
            </w:r>
            <w:proofErr w:type="spellStart"/>
            <w:r>
              <w:rPr>
                <w:rFonts w:eastAsia="Arial Narrow"/>
              </w:rPr>
              <w:t>mGy</w:t>
            </w:r>
            <w:proofErr w:type="spellEnd"/>
            <w:r>
              <w:rPr>
                <w:rFonts w:eastAsia="Arial Narrow"/>
              </w:rPr>
              <w:t xml:space="preserve"> i ≤</w:t>
            </w:r>
            <w:r>
              <w:t xml:space="preserve">25,0 </w:t>
            </w:r>
            <w:proofErr w:type="spellStart"/>
            <w:r>
              <w:t>mGy</w:t>
            </w:r>
            <w:proofErr w:type="spellEnd"/>
            <w:r>
              <w:t xml:space="preserve"> – 2 pkt</w:t>
            </w:r>
          </w:p>
          <w:p w14:paraId="60B4A5EB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&gt;17 </w:t>
            </w:r>
            <w:proofErr w:type="spellStart"/>
            <w:r>
              <w:rPr>
                <w:rFonts w:eastAsia="Arial Narrow"/>
              </w:rPr>
              <w:t>mGy</w:t>
            </w:r>
            <w:proofErr w:type="spellEnd"/>
            <w:r>
              <w:rPr>
                <w:rFonts w:eastAsia="Arial Narrow"/>
              </w:rPr>
              <w:t xml:space="preserve"> i ≤</w:t>
            </w:r>
            <w:r>
              <w:t xml:space="preserve">21,0 </w:t>
            </w:r>
            <w:proofErr w:type="spellStart"/>
            <w:r>
              <w:t>mGy</w:t>
            </w:r>
            <w:proofErr w:type="spellEnd"/>
            <w:r>
              <w:t xml:space="preserve"> – 5 pkt</w:t>
            </w:r>
          </w:p>
          <w:p w14:paraId="0D4E17A5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>≤</w:t>
            </w:r>
            <w:r>
              <w:t xml:space="preserve">17,0 </w:t>
            </w:r>
            <w:proofErr w:type="spellStart"/>
            <w:r>
              <w:t>mGy</w:t>
            </w:r>
            <w:proofErr w:type="spellEnd"/>
            <w:r>
              <w:t xml:space="preserve"> – 10 pkt</w:t>
            </w:r>
          </w:p>
          <w:p w14:paraId="07EDBE4E" w14:textId="77777777" w:rsidR="00E445B6" w:rsidRDefault="00E445B6">
            <w:pPr>
              <w:jc w:val="center"/>
            </w:pPr>
          </w:p>
        </w:tc>
      </w:tr>
      <w:tr w:rsidR="00E445B6" w14:paraId="1328E4BF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3110A6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  <w:p w14:paraId="39587251" w14:textId="77777777" w:rsidR="00E445B6" w:rsidRDefault="00E445B6"/>
          <w:p w14:paraId="1126683E" w14:textId="77777777" w:rsidR="00E445B6" w:rsidRDefault="00E445B6"/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79CBB3" w14:textId="77777777" w:rsidR="00E445B6" w:rsidRDefault="00A82C0A">
            <w:pPr>
              <w:ind w:left="33" w:firstLine="4"/>
            </w:pPr>
            <w:r>
              <w:t>Oprogramowanie do monitorowania poziomu dawki, ostrzegające użytkownika w przypadku, gdy szacunkowa dawka dla skanu przewyższa wartość dawki ustanowioną w danej pracowni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8835D8" w14:textId="77777777" w:rsidR="00E445B6" w:rsidRDefault="00A82C0A">
            <w:pPr>
              <w:ind w:left="33" w:hanging="33"/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867291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4E5E902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09C8CD2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DC1FE5" w14:textId="77777777" w:rsidR="00E445B6" w:rsidRDefault="00E445B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C069FB" w14:textId="77777777" w:rsidR="00E445B6" w:rsidRDefault="00A82C0A">
            <w:pPr>
              <w:ind w:left="33" w:firstLine="4"/>
            </w:pPr>
            <w:r>
              <w:t>Raport dotyczący rzeczywistej dawki jaką otrzymał pacjent w każdej serii dołączany do badania w postaci dodatkowej serii DICOM z możliwością jego zapamiętania i wydruku.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DAEC18F" w14:textId="77777777" w:rsidR="00E445B6" w:rsidRDefault="00E445B6">
            <w:pPr>
              <w:ind w:left="33" w:hanging="33"/>
              <w:jc w:val="center"/>
            </w:pP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44830F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364B6E2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3FFCEAB6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73FF5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180EE4" w14:textId="77777777" w:rsidR="00E445B6" w:rsidRDefault="00A82C0A">
            <w:pPr>
              <w:ind w:left="33" w:firstLine="4"/>
            </w:pPr>
            <w:r>
              <w:t xml:space="preserve">Oprogramowanie do automatycznego startu badania </w:t>
            </w:r>
            <w:r>
              <w:lastRenderedPageBreak/>
              <w:t>spiralnego po dotarciu środka cieniującego w badaną okolicę; wraz z możliwością opóźnienia zaprogramowanego startu badania w np. przypadku pojawienia się błędnego odczytu wartości gęstości kontrastu w naczyniu, a następnie kontynuowania go bez ponownego wprowadzania zaplanowanego protokołu badania.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E000996" w14:textId="77777777" w:rsidR="00E445B6" w:rsidRDefault="00A82C0A">
            <w:pPr>
              <w:ind w:left="33" w:hanging="33"/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7C8148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786D10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601796C6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C5112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30A2A4" w14:textId="77777777" w:rsidR="00E445B6" w:rsidRDefault="00A82C0A">
            <w:pPr>
              <w:ind w:left="33" w:firstLine="4"/>
            </w:pPr>
            <w:r>
              <w:t xml:space="preserve">Zakres skanowania w trybie </w:t>
            </w:r>
            <w:proofErr w:type="spellStart"/>
            <w:r>
              <w:t>topogramu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DC6FBB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185 cm</w:t>
            </w:r>
          </w:p>
          <w:p w14:paraId="66B7200A" w14:textId="77777777" w:rsidR="00E445B6" w:rsidRDefault="00A82C0A">
            <w:pPr>
              <w:ind w:left="33" w:hanging="33"/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5507F0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1E2FAB" w14:textId="77777777" w:rsidR="00E445B6" w:rsidRDefault="00E445B6">
            <w:pPr>
              <w:jc w:val="center"/>
              <w:rPr>
                <w:bCs/>
              </w:rPr>
            </w:pPr>
          </w:p>
        </w:tc>
      </w:tr>
      <w:tr w:rsidR="00E445B6" w14:paraId="7ED992B9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001A1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F607B4" w14:textId="77777777" w:rsidR="00E445B6" w:rsidRDefault="00A82C0A">
            <w:r>
              <w:t>Konsola operatorska min. 1 monitorowa.</w:t>
            </w:r>
          </w:p>
          <w:p w14:paraId="039236F9" w14:textId="77777777" w:rsidR="00E445B6" w:rsidRDefault="00A82C0A">
            <w:r>
              <w:t>Przekątna kolorowego (kolorowych) monitora (ów)konsoli operatora z aktywną matrycą ciekłokrystaliczną typu Flat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5392E0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19”</w:t>
            </w:r>
          </w:p>
          <w:p w14:paraId="7036597D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140080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F90C76" w14:textId="77777777" w:rsidR="00E445B6" w:rsidRPr="00E86B6F" w:rsidRDefault="00E86B6F">
            <w:pPr>
              <w:jc w:val="center"/>
              <w:rPr>
                <w:color w:val="FF0000"/>
              </w:rPr>
            </w:pPr>
            <w:r w:rsidRPr="00E86B6F">
              <w:rPr>
                <w:color w:val="FF0000"/>
              </w:rPr>
              <w:t>1 monitor- 0 pkt</w:t>
            </w:r>
          </w:p>
          <w:p w14:paraId="05F049F0" w14:textId="77777777" w:rsidR="00E86B6F" w:rsidRPr="00E86B6F" w:rsidRDefault="00E86B6F">
            <w:pPr>
              <w:jc w:val="center"/>
              <w:rPr>
                <w:color w:val="FF0000"/>
              </w:rPr>
            </w:pPr>
            <w:r w:rsidRPr="00E86B6F">
              <w:rPr>
                <w:color w:val="FF0000"/>
              </w:rPr>
              <w:t>2 monitory o przekątnej mniejszej bądź równej 22’’- 2 pkt</w:t>
            </w:r>
          </w:p>
          <w:p w14:paraId="4A642483" w14:textId="4D12C879" w:rsidR="00E86B6F" w:rsidRDefault="00E86B6F">
            <w:pPr>
              <w:jc w:val="center"/>
            </w:pPr>
            <w:r w:rsidRPr="00E86B6F">
              <w:rPr>
                <w:color w:val="FF0000"/>
              </w:rPr>
              <w:t xml:space="preserve">2 monitory o przekątnej większej niż 22’’- </w:t>
            </w:r>
            <w:r w:rsidR="00EB58F1">
              <w:rPr>
                <w:color w:val="FF0000"/>
              </w:rPr>
              <w:br/>
            </w:r>
            <w:r w:rsidRPr="00E86B6F">
              <w:rPr>
                <w:color w:val="FF0000"/>
              </w:rPr>
              <w:t>5 pkt</w:t>
            </w:r>
          </w:p>
        </w:tc>
      </w:tr>
      <w:tr w:rsidR="00E445B6" w14:paraId="382AF93A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DEBAF0" w14:textId="6E511DC1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B69395" w14:textId="77777777" w:rsidR="00E445B6" w:rsidRDefault="00A82C0A">
            <w:r>
              <w:t>Pojemność dostępnej bazy danych dla obrazów [512 x 512] bez kompresji wyrażona ilością obrazów niezależnie od przestrzeni dyskowej dla danych surowych [obrazów]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48817D" w14:textId="77777777" w:rsidR="00E445B6" w:rsidRDefault="00A82C0A">
            <w:pPr>
              <w:jc w:val="center"/>
            </w:pPr>
            <w:r>
              <w:rPr>
                <w:rFonts w:eastAsia="Arial Narrow"/>
              </w:rPr>
              <w:t xml:space="preserve">≥ </w:t>
            </w:r>
            <w:r>
              <w:t>700 000</w:t>
            </w:r>
          </w:p>
          <w:p w14:paraId="2D9C6164" w14:textId="77777777" w:rsidR="00E445B6" w:rsidRDefault="00A82C0A">
            <w:pPr>
              <w:jc w:val="center"/>
            </w:pPr>
            <w:r>
              <w:t>(podać)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511005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E06FBA" w14:textId="77777777" w:rsidR="00E445B6" w:rsidRDefault="00E445B6">
            <w:pPr>
              <w:jc w:val="center"/>
            </w:pPr>
          </w:p>
        </w:tc>
      </w:tr>
      <w:tr w:rsidR="00E445B6" w14:paraId="2BEC46D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A80AE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B7EC4E" w14:textId="2288C565" w:rsidR="00E445B6" w:rsidRDefault="00A82C0A">
            <w:pPr>
              <w:rPr>
                <w:bCs/>
              </w:rPr>
            </w:pPr>
            <w:r w:rsidRPr="00E86B6F">
              <w:rPr>
                <w:bCs/>
                <w:color w:val="FF0000"/>
              </w:rPr>
              <w:t xml:space="preserve">System archiwizacji CD/DVD </w:t>
            </w:r>
            <w:proofErr w:type="spellStart"/>
            <w:r w:rsidR="00E86B6F" w:rsidRPr="00E86B6F">
              <w:rPr>
                <w:bCs/>
                <w:color w:val="FF0000"/>
              </w:rPr>
              <w:t>lu</w:t>
            </w:r>
            <w:proofErr w:type="spellEnd"/>
            <w:r w:rsidR="00E86B6F" w:rsidRPr="00E86B6F">
              <w:rPr>
                <w:bCs/>
                <w:color w:val="FF0000"/>
              </w:rPr>
              <w:t xml:space="preserve"> USB </w:t>
            </w:r>
            <w:r w:rsidRPr="00E86B6F">
              <w:rPr>
                <w:bCs/>
                <w:color w:val="FF0000"/>
              </w:rPr>
              <w:t>z automatycznym dogrywaniem przeglądarki DICOM oraz z możliwością odtwarzania</w:t>
            </w:r>
            <w:r>
              <w:rPr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F14DBE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4050F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6EA63D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6DCDA47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66169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7DAE6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Interfejs sieciowy zgodnie z DICOM 3.0 z następującymi klasami serwisowymi:</w:t>
            </w:r>
          </w:p>
          <w:p w14:paraId="0D99199D" w14:textId="77777777" w:rsidR="00E445B6" w:rsidRDefault="00A82C0A">
            <w:pPr>
              <w:pStyle w:val="redniasiatka2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Send/Receive,</w:t>
            </w:r>
          </w:p>
          <w:p w14:paraId="45784E3D" w14:textId="77777777" w:rsidR="00E445B6" w:rsidRPr="00E86B6F" w:rsidRDefault="00A82C0A">
            <w:pPr>
              <w:pStyle w:val="redniasiatka2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val="en-US"/>
              </w:rPr>
            </w:pPr>
            <w:r w:rsidRPr="00E86B6F">
              <w:rPr>
                <w:rFonts w:ascii="Times New Roman" w:hAnsi="Times New Roman" w:cs="Times New Roman"/>
                <w:bCs/>
                <w:strike/>
                <w:color w:val="FF0000"/>
                <w:sz w:val="24"/>
                <w:szCs w:val="24"/>
                <w:lang w:val="en-US"/>
              </w:rPr>
              <w:t>Basic Print,</w:t>
            </w:r>
          </w:p>
          <w:p w14:paraId="335E4876" w14:textId="77777777" w:rsidR="00E445B6" w:rsidRDefault="00A82C0A">
            <w:pPr>
              <w:pStyle w:val="redniasiatka2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Retrieve,</w:t>
            </w:r>
          </w:p>
          <w:p w14:paraId="430EA997" w14:textId="77777777" w:rsidR="00E445B6" w:rsidRDefault="00A82C0A">
            <w:pPr>
              <w:pStyle w:val="redniasiatka2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Storage,</w:t>
            </w:r>
          </w:p>
          <w:p w14:paraId="248CCDB7" w14:textId="77777777" w:rsidR="00E445B6" w:rsidRDefault="00A82C0A">
            <w:pPr>
              <w:pStyle w:val="redniasiatka2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Worklist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BCA060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6153E0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DB796A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2FB9EA5E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2B0B4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F5B5BB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Akwizycja obrazów do badań neurologicznych.</w:t>
            </w:r>
          </w:p>
          <w:p w14:paraId="4EDA1734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Akwizycja obrazów do badań perfuzyjnych.</w:t>
            </w:r>
          </w:p>
          <w:p w14:paraId="1FB907A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Akwizycja obrazów do badań pulmonologicznych.</w:t>
            </w:r>
          </w:p>
          <w:p w14:paraId="18682CE6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Akwizycja obrazów do badań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kolonoskopowych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F8F3E1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Akwizycja obrazów do wirtualnej endoskopii.</w:t>
            </w:r>
          </w:p>
          <w:p w14:paraId="654E87BE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Akwizycja obrazów do badań naczyniowych.</w:t>
            </w:r>
          </w:p>
          <w:p w14:paraId="10BA80A2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Akwizycja obrazów do badań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subtrakcyjnych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/lub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dwuenergetycznych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E57CF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Akwizycja obrazów do badań neurologicznych.</w:t>
            </w:r>
          </w:p>
          <w:p w14:paraId="47F755A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Akwizycja obrazów do badań ortopedycznych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9E16FF" w14:textId="77777777" w:rsidR="00E445B6" w:rsidRDefault="00A82C0A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E53657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626B4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5D7088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60E9C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F416C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prospektywnego lub retrospektywnego skanowania wyzwalanego impulsami EKG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1BD58C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DC273D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DA1EA9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B09530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6EA8F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54CC9E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Korekta miejsc bramkowania przebiegiem EKG bezpośrednio po zebraniu danych (eliminacja fałszywych załamków R, dodatkowych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pobudzeń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przed dokonaniem właściwych rekonstrukcji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3AAEC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4FD8EB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4173EE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0D4442A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C2AD5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802012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automatycznego wyszukiwania optymalnej fazy rekonstrukcji serca przed wykonaniem właściwych rekonstrukcji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5B20FE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0D6A92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BE22A8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C662FDA" w14:textId="77777777">
        <w:trPr>
          <w:trHeight w:val="6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BEB0C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918D07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Akwizycja typu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Triple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Rule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-Out u pacjentów z bólem w klatce piersiowej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DC163E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4E140C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641428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38331F2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46989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57820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Akwizycja dla oceny tętnic wieńcowych w ocenie bólu klatki piersiowej, tętnic i pomostów aortalno – wieńcowych z możliwością oceny istotności zwężeń i charakterystyką zmian w naczyniach wieńcowych</w:t>
            </w:r>
          </w:p>
          <w:p w14:paraId="4A24762D" w14:textId="77777777" w:rsidR="00E445B6" w:rsidRDefault="00E445B6">
            <w:pPr>
              <w:pStyle w:val="redniasiatka21"/>
              <w:rPr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D66D31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27F0A2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B4725D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32A0AE9" w14:textId="77777777">
        <w:trPr>
          <w:trHeight w:val="6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1FFB6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FBE31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Akwizycja dla oceny aorty i dużych naczyń w protokole planowania TAVI/TAVR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432F23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742663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F1612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32E08AD" w14:textId="77777777">
        <w:trPr>
          <w:trHeight w:val="59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F1676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17F32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Możliwość eksportu danych do 3D do systemu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elektroanatomicznego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Ensite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Precision /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Ensite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X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D886ED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BCDE7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AEF65D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7D09E51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0FCC3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19F4B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Akwizycja kardiologiczna umożliwiająca ocenę dynamicznej perfuzji mięśnia prawej i lewej komory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CE7DD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BEFED2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42840D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3AE6FA44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56811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A305F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Akwizycja kardiologiczna umożliwiająca zbadanie całego serca (min. 16 cm) w jednym uderzeniu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niezależnie od częstości jego pracy w zakresie min. 40 - 160 skurczów/minutę (akwizycja danych z wszystkich faz pracy serca)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29319E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61668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A6DA47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10 pkt</w:t>
            </w:r>
          </w:p>
          <w:p w14:paraId="1510A718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NIE – 0 pkt</w:t>
            </w:r>
          </w:p>
        </w:tc>
      </w:tr>
      <w:tr w:rsidR="00E445B6" w14:paraId="3F213895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1BE58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4182A7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umożliwiające automatyczną detekcję arytmii i wykonywanie badań pacjentom na nią cierpiącym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3DF7E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5BBAA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143D75" w14:textId="77777777" w:rsidR="00E445B6" w:rsidRDefault="00A82C0A">
            <w:pPr>
              <w:pStyle w:val="redniasiatka21"/>
              <w:ind w:left="3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Automatyczna detekcja arytmii i w przypadku jej wystąpienia zablokowanie ekspozycji i wykonanie powtórnej ekspozycji po powrocie rytmu serca do normalnego rytmu – 0 pkt</w:t>
            </w:r>
          </w:p>
          <w:p w14:paraId="10869277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Automatyczna detekcja arytmii i w przypadku jej wystąpienia kontynuowanie badania poprzez zmianę trybu pracy z prospektywnego na retrospektywny</w:t>
            </w:r>
          </w:p>
          <w:p w14:paraId="15AD945C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– 5 pkt</w:t>
            </w:r>
          </w:p>
        </w:tc>
      </w:tr>
      <w:tr w:rsidR="00E445B6" w14:paraId="15272E8D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84779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EC659A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Automatyczny dobór współczynnika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pitch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osiągnięcia wybranego przez użytkownika pokrycia i czasu skanowania, utrzymując wybraną grubość warstwy oraz jakość obrazu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0269BC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9F3241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57C31A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5 pkt</w:t>
            </w:r>
          </w:p>
          <w:p w14:paraId="02E48DF9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NIE – 0 pkt</w:t>
            </w:r>
          </w:p>
        </w:tc>
      </w:tr>
      <w:tr w:rsidR="00E445B6" w14:paraId="5DA75449" w14:textId="77777777">
        <w:trPr>
          <w:trHeight w:val="312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31875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621838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Algorytm poprawiający jakość obrazowania i zapewniający redukcję dawki w badaniach naczyń wieńcowych (w tym między innymi redukcja szumu , redukcja artefaktów spowodowanych zwapnieniami w naczyniach wieńcowych (tzw.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blooming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artifacts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” i zapewniający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precyzję w obrazowaniu małych naczyń, płytek miażdżycowych, struktur kardiologicznych oraz poprawiający lepszą wizualizację 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stencie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 wyraźnym obrazem światłą naczynia dla oceny przerostu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neointimy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restenozy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stencie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BF75A2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10AC67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B2E27C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</w:p>
        </w:tc>
      </w:tr>
      <w:tr w:rsidR="00E445B6" w14:paraId="169DF029" w14:textId="77777777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5958E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B53ED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Algorytm opisany w punkcie powyżej  wykorzystujący technologię głębokiego uczenia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Learning" (algorytm dedykowany, inny niż zaoferowany w pkt. 45)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3951C3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/ NIE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02AFDC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D2154E1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20 pkt</w:t>
            </w:r>
          </w:p>
          <w:p w14:paraId="72C1F9ED" w14:textId="77777777" w:rsidR="00E445B6" w:rsidRDefault="00A82C0A">
            <w:pPr>
              <w:jc w:val="center"/>
              <w:rPr>
                <w:rFonts w:eastAsia="SimSun"/>
                <w:bCs/>
                <w:iCs/>
              </w:rPr>
            </w:pPr>
            <w:r>
              <w:rPr>
                <w:rFonts w:eastAsia="SimSun"/>
                <w:bCs/>
                <w:iCs/>
              </w:rPr>
              <w:t>NIE – 0 pkt</w:t>
            </w:r>
          </w:p>
        </w:tc>
      </w:tr>
    </w:tbl>
    <w:p w14:paraId="4413207F" w14:textId="77777777" w:rsidR="00E445B6" w:rsidRDefault="00E445B6"/>
    <w:p w14:paraId="2CD28C8B" w14:textId="77777777" w:rsidR="00E445B6" w:rsidRDefault="00E445B6"/>
    <w:tbl>
      <w:tblPr>
        <w:tblW w:w="14601" w:type="dxa"/>
        <w:tblInd w:w="-147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410"/>
        <w:gridCol w:w="2555"/>
        <w:gridCol w:w="4540"/>
      </w:tblGrid>
      <w:tr w:rsidR="00E445B6" w14:paraId="1F4CAF71" w14:textId="77777777" w:rsidTr="00D3062F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66734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607EC0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Akwizycja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umożliwiająca uzyskanie dwóch zestawów danych badanej objętości dla minimum dwóch różnych energii promieniowania - różnych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każdej z energii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EB4212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52A0D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F0BB43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2F24FE10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F33B1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D2E0426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Akwizycja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umożliwiająca uzyskanie dwóch zestawów danych obrazowych badanej objętości dla dwóch różnych energii promieniowania w trybie pojedynczego skanowania spiralnego ze współczynnikiem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pitch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≥ 1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961DAC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12EE3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4A9439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D2C2656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337DD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77036C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Akwizycja danych dla badań nisko- 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wysoko-energetycznych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uzyskana z różnicą czasu pomiędzy akwizycjami różnych energii  &lt; 1 ms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F2C35D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3DBAC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331EAA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F80C79F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C7B57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8A6D2E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wykonywania badań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wykorzystaniem technologii głębokiego uczenia 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Learning" (algorytm dedykowany, inny niż zaoferowany w pkt. 45)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8B3F5A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/ 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B0A17AB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3AC8E6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20 pkt</w:t>
            </w:r>
          </w:p>
          <w:p w14:paraId="2339E7DD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NIE – 0 pkt</w:t>
            </w:r>
          </w:p>
        </w:tc>
      </w:tr>
      <w:tr w:rsidR="00E445B6" w14:paraId="60D054EB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7723C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A3B334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Możliwość wykonywania badań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pełnym zaoferowanym diagnostycznym polu skanowania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SFoV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min. 50 cm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1E90AD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/ 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A1454A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EC1F3E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TAK – 10 pkt</w:t>
            </w:r>
          </w:p>
          <w:p w14:paraId="6B7774FF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rFonts w:eastAsia="SimSun"/>
                <w:bCs/>
                <w:iCs/>
                <w:szCs w:val="24"/>
              </w:rPr>
            </w:pPr>
            <w:r>
              <w:rPr>
                <w:rFonts w:eastAsia="SimSun"/>
                <w:bCs/>
                <w:iCs/>
                <w:szCs w:val="24"/>
              </w:rPr>
              <w:t>NIE – 0 pkt</w:t>
            </w:r>
          </w:p>
        </w:tc>
      </w:tr>
      <w:tr w:rsidR="00E445B6" w14:paraId="74464B09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56A5F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2AED53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Tomograf komputerowy umożliwiający wykonanie perfuzji mózgowia oraz narządów miąższowych w badaniu dynamicznym </w:t>
            </w:r>
            <w:proofErr w:type="spellStart"/>
            <w:r>
              <w:rPr>
                <w:bCs/>
              </w:rPr>
              <w:t>aksjalnym</w:t>
            </w:r>
            <w:proofErr w:type="spellEnd"/>
            <w:r>
              <w:rPr>
                <w:bCs/>
              </w:rPr>
              <w:t xml:space="preserve"> w sposób, zapewniający jednoczasowe zbieranie danych w  całym badanym obszarze (bez przesuwu stołu), obejmującym odcinek badania w osi Z o długości minimum 16 cm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DF39C7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B88313" w14:textId="77777777" w:rsidR="00E445B6" w:rsidRDefault="00E445B6">
            <w:pPr>
              <w:rPr>
                <w:bCs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894C6F" w14:textId="77777777" w:rsidR="00E445B6" w:rsidRDefault="00E445B6">
            <w:pPr>
              <w:jc w:val="center"/>
            </w:pPr>
          </w:p>
        </w:tc>
      </w:tr>
      <w:tr w:rsidR="00E445B6" w14:paraId="4E88A3FB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B99D4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D3236E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Oprogramowanie umożliwiające akwizycję i ocenę badań w obszarze szyi i głowy oraz kończyn i tułowia metodą </w:t>
            </w:r>
            <w:proofErr w:type="spellStart"/>
            <w:r>
              <w:rPr>
                <w:bCs/>
              </w:rPr>
              <w:t>subtrakcyjn</w:t>
            </w:r>
            <w:proofErr w:type="spellEnd"/>
          </w:p>
          <w:p w14:paraId="5D02F1C0" w14:textId="77777777" w:rsidR="00E445B6" w:rsidRDefault="00E445B6">
            <w:pPr>
              <w:rPr>
                <w:bCs/>
              </w:rPr>
            </w:pPr>
          </w:p>
          <w:p w14:paraId="550134D5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lastRenderedPageBreak/>
              <w:t>Możliwość akwizycji (automatyczna akwizycja, dwóch zestawów danych obrazowych przed i po podaniu środka kontrastowego, obraz z maską i bez maski) i oceny badań (automatyczne , na bazie dwóch zestawów danych obrazowych uzyskanych w akwizycji przed i po podaniu środka kontrastowego, automatyczne odejmowanie kości, automatyczne generowanie i prezentacja obrazu)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54A04E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TAK / NIE</w:t>
            </w:r>
          </w:p>
          <w:p w14:paraId="0B968A69" w14:textId="77777777" w:rsidR="00E445B6" w:rsidRDefault="00E445B6">
            <w:pPr>
              <w:jc w:val="center"/>
              <w:rPr>
                <w:bCs/>
              </w:rPr>
            </w:pP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4888DB" w14:textId="77777777" w:rsidR="00E445B6" w:rsidRDefault="00E445B6">
            <w:pPr>
              <w:rPr>
                <w:bCs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B70190" w14:textId="77777777" w:rsidR="00E445B6" w:rsidRDefault="00A82C0A">
            <w:pPr>
              <w:jc w:val="center"/>
            </w:pPr>
            <w:r>
              <w:t>TAK – 10 pkt</w:t>
            </w:r>
          </w:p>
          <w:p w14:paraId="2DC3E082" w14:textId="77777777" w:rsidR="00E445B6" w:rsidRDefault="00A82C0A">
            <w:pPr>
              <w:jc w:val="center"/>
            </w:pPr>
            <w:r>
              <w:t>NIE – 0 pkt</w:t>
            </w:r>
          </w:p>
        </w:tc>
      </w:tr>
      <w:tr w:rsidR="00E445B6" w14:paraId="6CF0B3E4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07BC5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D0F527" w14:textId="60FFAD44" w:rsidR="00E445B6" w:rsidRDefault="00A82C0A">
            <w:pPr>
              <w:rPr>
                <w:bCs/>
              </w:rPr>
            </w:pPr>
            <w:r w:rsidRPr="00E86B6F">
              <w:rPr>
                <w:bCs/>
                <w:color w:val="FF0000"/>
              </w:rPr>
              <w:t>Algorytm umożliwiający redukcję artefaktów ruchowych</w:t>
            </w:r>
            <w:r w:rsidR="00E86B6F" w:rsidRPr="00E86B6F">
              <w:rPr>
                <w:bCs/>
                <w:color w:val="FF0000"/>
              </w:rPr>
              <w:t xml:space="preserve"> spowodowanych biciem serca</w:t>
            </w:r>
            <w:r w:rsidRPr="00E86B6F">
              <w:rPr>
                <w:bCs/>
                <w:color w:val="FF0000"/>
              </w:rPr>
              <w:t xml:space="preserve"> i poprawiający jakość obrazowania w badaniach naczyń wieńcowych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599EC7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2D0852" w14:textId="77777777" w:rsidR="00E445B6" w:rsidRDefault="00E445B6">
            <w:pPr>
              <w:rPr>
                <w:bCs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A4E4F7" w14:textId="77777777" w:rsidR="00E445B6" w:rsidRDefault="00E445B6">
            <w:pPr>
              <w:jc w:val="center"/>
            </w:pPr>
          </w:p>
        </w:tc>
      </w:tr>
      <w:tr w:rsidR="00E445B6" w14:paraId="282E62B6" w14:textId="77777777" w:rsidTr="00D3062F">
        <w:trPr>
          <w:trHeight w:val="699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321BB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5D9531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Tomograf komputerowy umożliwiający wykonanie oraz ocenę badań ortopedycznych z obrazowaniem 4D stawów, z wizualizacją ich kinetyki, w badaniu dynamicznym </w:t>
            </w:r>
            <w:proofErr w:type="spellStart"/>
            <w:r>
              <w:rPr>
                <w:bCs/>
              </w:rPr>
              <w:t>aksjalnym</w:t>
            </w:r>
            <w:proofErr w:type="spellEnd"/>
            <w:r>
              <w:rPr>
                <w:bCs/>
              </w:rPr>
              <w:t xml:space="preserve"> w sposób, zapewniający jednoczasowe zbieranie danych w  całym badanym obszarze (bez przesuwu stołu), obejmującym odcinek badania w osi Z o długości minimum 16 cm</w:t>
            </w:r>
          </w:p>
          <w:p w14:paraId="1B31599C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>Dedykowane oprogramowanie do oceny wykonywanych badań – dopuszcza się zaoferowanie oprogramowanie na konsoli operatorskiej lub diagnostycznej (min. jeden jednoczesny dostęp)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478339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/ NIE</w:t>
            </w:r>
          </w:p>
          <w:p w14:paraId="0581FB7A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podać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991BA9" w14:textId="77777777" w:rsidR="00E445B6" w:rsidRDefault="00E445B6">
            <w:pPr>
              <w:rPr>
                <w:bCs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C6FFE8" w14:textId="77777777" w:rsidR="00E445B6" w:rsidRDefault="00A82C0A">
            <w:pPr>
              <w:jc w:val="center"/>
            </w:pPr>
            <w:r>
              <w:t>TAK – 10 pkt</w:t>
            </w:r>
          </w:p>
          <w:p w14:paraId="5F543521" w14:textId="77777777" w:rsidR="00E445B6" w:rsidRDefault="00A82C0A">
            <w:pPr>
              <w:jc w:val="center"/>
            </w:pPr>
            <w:r>
              <w:t>NIE – 0 pkt</w:t>
            </w:r>
          </w:p>
          <w:p w14:paraId="3C8728A0" w14:textId="77777777" w:rsidR="00E445B6" w:rsidRDefault="00E445B6">
            <w:pPr>
              <w:jc w:val="center"/>
            </w:pPr>
          </w:p>
        </w:tc>
      </w:tr>
      <w:tr w:rsidR="00E445B6" w14:paraId="23B14145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68D98C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2A56F7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MIP (Maximum </w:t>
            </w:r>
            <w:proofErr w:type="spellStart"/>
            <w:r>
              <w:rPr>
                <w:bCs/>
              </w:rPr>
              <w:t>Intensity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Projection</w:t>
            </w:r>
            <w:proofErr w:type="spellEnd"/>
            <w:r>
              <w:rPr>
                <w:bCs/>
              </w:rPr>
              <w:t>).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5731AC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197B90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A60241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22141B37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21BCB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52CC92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SSD (Surface </w:t>
            </w:r>
            <w:proofErr w:type="spellStart"/>
            <w:r>
              <w:rPr>
                <w:bCs/>
              </w:rPr>
              <w:t>Shaded</w:t>
            </w:r>
            <w:proofErr w:type="spellEnd"/>
            <w:r>
              <w:rPr>
                <w:bCs/>
              </w:rPr>
              <w:t xml:space="preserve"> Display).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7EC711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A7C2B3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E5199A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2030A06F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64C08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3AFA0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VRT (Volume Rendering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Technique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D9773B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63E95F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A0BC27B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045F610F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877B3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8E01D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MPR,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reformatowanie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wielopłaszczyznowe.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E92BF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483F3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AD88A2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724B1FE5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A1B246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4FBCA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Obliczanie całkowitej dawki ekspozycyjnej (DLP lub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CTDIvol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 jaką uzyskał pacjent w trakcie badania i jej prezentacja na ekranie konsoli operatorskiej.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0673CB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6951400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2D3B5C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1E6049E9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138E7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4DA294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Hybrydowy algorytm rekonstrukcji iteracyjnej zapewniający doskonałą rozdzielczość wyglądu płuc 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tkanek miękkich w jednym obrazie, bez konieczności tworzenia dodatkowej serii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62F3D0" w14:textId="77777777" w:rsidR="00E445B6" w:rsidRDefault="00A82C0A">
            <w:pPr>
              <w:jc w:val="center"/>
            </w:pPr>
            <w:r>
              <w:lastRenderedPageBreak/>
              <w:t>TAK/NIE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30498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382A201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TAK – 5 pkt</w:t>
            </w:r>
          </w:p>
          <w:p w14:paraId="358DDCE7" w14:textId="77777777" w:rsidR="00E445B6" w:rsidRDefault="00A82C0A">
            <w:pPr>
              <w:pStyle w:val="Nagwek2"/>
              <w:tabs>
                <w:tab w:val="left" w:pos="0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NIE – 0 pkt</w:t>
            </w:r>
          </w:p>
        </w:tc>
      </w:tr>
      <w:tr w:rsidR="00E445B6" w14:paraId="64CD800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0027C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0265EA" w14:textId="77777777" w:rsidR="00E445B6" w:rsidRDefault="00A82C0A">
            <w:pPr>
              <w:pStyle w:val="Nagwek"/>
              <w:rPr>
                <w:bCs/>
                <w:szCs w:val="24"/>
              </w:rPr>
            </w:pPr>
            <w:r>
              <w:rPr>
                <w:bCs/>
                <w:szCs w:val="24"/>
              </w:rPr>
              <w:t>Dedykowany algorytm rekonstrukcji obrazów redukujący artefakty pochodzące od elementów metalowych i umożliwiający obrazowanie otaczających je tkanek miękkich. Możliwość zastosowania algorytmu po wykonaniu badania, w przypadku stwierdzenia artefaktów, bez konieczności powtarzania badania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0CA870" w14:textId="77777777" w:rsidR="00E445B6" w:rsidRDefault="00A82C0A">
            <w:pPr>
              <w:jc w:val="center"/>
            </w:pPr>
            <w:r>
              <w:t>TAK</w:t>
            </w:r>
          </w:p>
          <w:p w14:paraId="4FA68FDA" w14:textId="77777777" w:rsidR="00E445B6" w:rsidRDefault="00A82C0A">
            <w:pPr>
              <w:jc w:val="center"/>
            </w:pPr>
            <w:r>
              <w:t>(podać nazwę rozwiązania)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E97CC1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63DACB" w14:textId="77777777" w:rsidR="00E445B6" w:rsidRDefault="00E445B6">
            <w:pPr>
              <w:jc w:val="center"/>
            </w:pPr>
          </w:p>
        </w:tc>
      </w:tr>
      <w:tr w:rsidR="00E445B6" w14:paraId="61B2E44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B6588D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6FED4C" w14:textId="77777777" w:rsidR="00E445B6" w:rsidRDefault="00A82C0A">
            <w:pPr>
              <w:pStyle w:val="Nagwek"/>
              <w:rPr>
                <w:bCs/>
                <w:szCs w:val="24"/>
              </w:rPr>
            </w:pPr>
            <w:r>
              <w:rPr>
                <w:bCs/>
                <w:szCs w:val="24"/>
              </w:rPr>
              <w:t>Tomograf komputerowy umożliwiający wykonanie badania różnych obszarów anatomicznych (np. klatka piersiowa, jama brzuszna, kończyny dolne) ze zmiennymi wartościami parametrów skanowania spiralnego (</w:t>
            </w:r>
            <w:proofErr w:type="spellStart"/>
            <w:r>
              <w:rPr>
                <w:bCs/>
                <w:szCs w:val="24"/>
              </w:rPr>
              <w:t>pitch</w:t>
            </w:r>
            <w:proofErr w:type="spellEnd"/>
            <w:r>
              <w:rPr>
                <w:bCs/>
                <w:szCs w:val="24"/>
              </w:rPr>
              <w:t>, bramkowanie, modulacja dawki) w jednym planie, z jednego podania kontrastu-dla min. 3 obszarów, bez zatrzymania procesu skanowania (oraz bez zatrzymywania stołu) pomiędzy poszczególnymi obszarami anatomicznymi (potwierdzone w oficjalnych materiałach producenta)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EF2871" w14:textId="77777777" w:rsidR="00E445B6" w:rsidRDefault="00A82C0A">
            <w:pPr>
              <w:jc w:val="center"/>
            </w:pPr>
            <w:r>
              <w:t>TAK / 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EF5ADB" w14:textId="77777777" w:rsidR="00E445B6" w:rsidRDefault="00E445B6">
            <w:pPr>
              <w:jc w:val="center"/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7D66C3" w14:textId="77777777" w:rsidR="00E445B6" w:rsidRDefault="00A82C0A">
            <w:pPr>
              <w:jc w:val="center"/>
            </w:pPr>
            <w:r>
              <w:t>TAK – 10 pkt</w:t>
            </w:r>
          </w:p>
          <w:p w14:paraId="73DC338F" w14:textId="77777777" w:rsidR="00E445B6" w:rsidRDefault="00A82C0A">
            <w:pPr>
              <w:jc w:val="center"/>
            </w:pPr>
            <w:r>
              <w:t>NIE – 0 pkt</w:t>
            </w:r>
          </w:p>
        </w:tc>
      </w:tr>
      <w:tr w:rsidR="00E445B6" w14:paraId="67D1D385" w14:textId="77777777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ECE817" w14:textId="77777777" w:rsidR="00E445B6" w:rsidRDefault="00E445B6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1375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99081D6" w14:textId="77777777" w:rsidR="00E445B6" w:rsidRDefault="00A82C0A">
            <w:pPr>
              <w:pStyle w:val="Nagwek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SYSTEM STANOWISK DIAGNOSTYCZNYCH (min. 5 szt.)</w:t>
            </w:r>
          </w:p>
        </w:tc>
      </w:tr>
      <w:tr w:rsidR="00E445B6" w14:paraId="68D9554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AC7AE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F46EE6" w14:textId="77777777" w:rsidR="00E445B6" w:rsidRDefault="00A82C0A">
            <w:pPr>
              <w:rPr>
                <w:bCs/>
              </w:rPr>
            </w:pPr>
            <w:r>
              <w:rPr>
                <w:bCs/>
              </w:rPr>
              <w:t xml:space="preserve">Stanowiska diagnostyczne działające w oparciu o technologię klient serwer. Zaoferowane rozwiązanie ma zapewnić dostęp do wszystkich aplikacji min. 3 jednoczesnym użytkownikom. Serwer ze stanowiskami niezależne od tomografu i konsoli operatorskiej, zasilane niezależnie od tomografu i konsoli operatorskiej, o niezależnej bazie danych obrazowych, opracowywanie uzyskanych badań na stanowisku diagnostycznym możliwe po wyłączeniu tomografu i konsoli operatorskiej. Komputery stanowisk diagnostycznych / serwer(y) w konfiguracji sprzętowej zgodnej z wymogami producenta </w:t>
            </w:r>
            <w:r>
              <w:rPr>
                <w:bCs/>
              </w:rPr>
              <w:lastRenderedPageBreak/>
              <w:t>oprogramowania, zapewniającej płynną pracę i obróbkę, przetwarzanie oraz ocenę badań.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4F4C30" w14:textId="77777777" w:rsidR="00E445B6" w:rsidRDefault="00A82C0A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2AB716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BEA553" w14:textId="77777777" w:rsidR="00E445B6" w:rsidRDefault="00E445B6"/>
        </w:tc>
      </w:tr>
      <w:tr w:rsidR="00E445B6" w14:paraId="4FC6DE7C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A9E6B3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0453AB" w14:textId="77777777" w:rsidR="00E445B6" w:rsidRDefault="00A82C0A">
            <w:r>
              <w:t>Każde stanowisko diagnostyczne wyposażone w minimum jeden monitor diagnostyczny LCD/TFT o przekątnej monitora min. 30” oraz monitor opisowy o przekątnej min. 21”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0A9DAB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4F54BA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7258D6" w14:textId="77777777" w:rsidR="00E445B6" w:rsidRDefault="00E445B6"/>
        </w:tc>
      </w:tr>
      <w:tr w:rsidR="00E445B6" w14:paraId="6177B070" w14:textId="77777777" w:rsidTr="00D3062F">
        <w:trPr>
          <w:trHeight w:val="7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B52259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791D4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Interfejs sieciowy zgodnie z DICOM 3.0 z następującymi klasami serwisowymi:</w:t>
            </w:r>
          </w:p>
          <w:p w14:paraId="7665C7B8" w14:textId="77777777" w:rsidR="00E445B6" w:rsidRDefault="00A82C0A">
            <w:pPr>
              <w:pStyle w:val="redniasiatka21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Receive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9ABD940" w14:textId="77777777" w:rsidR="00E445B6" w:rsidRDefault="00A82C0A">
            <w:pPr>
              <w:pStyle w:val="redniasiatka21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0BA4C63" w14:textId="77777777" w:rsidR="00E445B6" w:rsidRDefault="00A82C0A">
            <w:pPr>
              <w:pStyle w:val="redniasiatka21"/>
              <w:numPr>
                <w:ilvl w:val="0"/>
                <w:numId w:val="6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Retrieve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611272A" w14:textId="77777777" w:rsidR="00E445B6" w:rsidRDefault="00A82C0A">
            <w:pPr>
              <w:pStyle w:val="redniasiatka21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Storage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Commitment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184EBF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91E316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C17378" w14:textId="77777777" w:rsidR="00E445B6" w:rsidRDefault="00E445B6"/>
        </w:tc>
      </w:tr>
      <w:tr w:rsidR="00E445B6" w14:paraId="77EAE853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B89D7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7DC3D6" w14:textId="77777777" w:rsidR="00E445B6" w:rsidRDefault="00A82C0A">
            <w:r>
              <w:t>Zasilacz UPS do każdej ze stacji o parametrach zapewniających zakończenie pracy (min 5 minut)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CEA7E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0C4DD7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1313C8" w14:textId="77777777" w:rsidR="00E445B6" w:rsidRDefault="00E445B6"/>
        </w:tc>
      </w:tr>
      <w:tr w:rsidR="00E445B6" w14:paraId="2FBE2D80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DF9DF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bCs/>
                <w:lang w:eastAsia="zh-CN"/>
              </w:rPr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BC7A54" w14:textId="77777777" w:rsidR="00E445B6" w:rsidRDefault="00A82C0A">
            <w:pPr>
              <w:pStyle w:val="redniasiatka21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Przeglądanie i wyświetlanie w jakości diagnostycznej badań wielu modalności min. CT, MR, NM, PT, XA, XR itp.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ADC1AD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EC0FE4" w14:textId="77777777" w:rsidR="00E445B6" w:rsidRDefault="00E445B6">
            <w:pPr>
              <w:pStyle w:val="Nagwek2"/>
              <w:jc w:val="center"/>
              <w:rPr>
                <w:bCs/>
                <w:szCs w:val="24"/>
                <w:lang w:eastAsia="zh-CN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2A9C61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40AD4D4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E44F6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  <w:rPr>
                <w:bCs/>
                <w:lang w:eastAsia="zh-CN"/>
              </w:rPr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AC81730" w14:textId="77777777" w:rsidR="00E445B6" w:rsidRDefault="00A82C0A">
            <w:pPr>
              <w:pStyle w:val="redniasiatka21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Możliwość eksportu danych w formacie gotowym dla drukarek 3D (format STL) dla badań TK i MR.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2E5950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TAK / 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2539D6" w14:textId="77777777" w:rsidR="00E445B6" w:rsidRDefault="00E445B6">
            <w:pPr>
              <w:pStyle w:val="Nagwek2"/>
              <w:jc w:val="center"/>
              <w:rPr>
                <w:bCs/>
                <w:szCs w:val="24"/>
                <w:lang w:eastAsia="zh-CN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28B689" w14:textId="77777777" w:rsidR="00E445B6" w:rsidRDefault="00A82C0A">
            <w:pPr>
              <w:jc w:val="center"/>
            </w:pPr>
            <w:r>
              <w:t>TAK – 2 pkt</w:t>
            </w:r>
          </w:p>
          <w:p w14:paraId="39EF7FE9" w14:textId="77777777" w:rsidR="00E445B6" w:rsidRDefault="00A82C0A">
            <w:pPr>
              <w:jc w:val="center"/>
            </w:pPr>
            <w:r>
              <w:t>NIE – 0 pkt</w:t>
            </w:r>
          </w:p>
        </w:tc>
      </w:tr>
      <w:tr w:rsidR="00E445B6" w14:paraId="79357CE4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9391E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E51DA76" w14:textId="77777777" w:rsidR="00E445B6" w:rsidRDefault="00A82C0A">
            <w:pPr>
              <w:pStyle w:val="redniasiatka21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MIP (Maximum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Intensity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Projection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69E8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6CB40D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443F18" w14:textId="77777777" w:rsidR="00E445B6" w:rsidRDefault="00E445B6"/>
        </w:tc>
      </w:tr>
      <w:tr w:rsidR="00E445B6" w14:paraId="2F067BAC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053CB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7F775D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SSD (Surface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Shaded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Display)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6FF9B7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CBC80E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C6B47A" w14:textId="77777777" w:rsidR="00E445B6" w:rsidRDefault="00E445B6"/>
        </w:tc>
      </w:tr>
      <w:tr w:rsidR="00E445B6" w14:paraId="206B5CA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C336AD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A153F60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VR (Volume Rendering 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C2D0604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4C8D83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DDAE10" w14:textId="77777777" w:rsidR="00E445B6" w:rsidRDefault="00E445B6"/>
        </w:tc>
      </w:tr>
      <w:tr w:rsidR="00E445B6" w14:paraId="449C61D6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1CD448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ACB108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Reformatowanie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wielopłaszczyznowe (MPR) rekonstrukcje wzdłuż dowolnej prostej (równoległe lub promieniste) lub krzywej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455C23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EC8FCB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5539EF" w14:textId="77777777" w:rsidR="00E445B6" w:rsidRDefault="00E445B6"/>
        </w:tc>
      </w:tr>
      <w:tr w:rsidR="00E445B6" w14:paraId="4C10131F" w14:textId="77777777" w:rsidTr="00D3062F">
        <w:trPr>
          <w:trHeight w:val="881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622AA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0C2A2E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BAFFCE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F4343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82F1AD" w14:textId="77777777" w:rsidR="00E445B6" w:rsidRDefault="00E445B6">
            <w:pPr>
              <w:jc w:val="center"/>
            </w:pPr>
          </w:p>
          <w:p w14:paraId="097E4454" w14:textId="77777777" w:rsidR="00E445B6" w:rsidRDefault="00E445B6">
            <w:pPr>
              <w:jc w:val="center"/>
            </w:pPr>
          </w:p>
        </w:tc>
      </w:tr>
      <w:tr w:rsidR="00E445B6" w14:paraId="0992E19C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BA667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FA2478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do wirtualnej endoskopii umożliwiające endoskopię naczyń, dróg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powietrznych. itp. z przekrojami w trzech głównych płaszczyznach (wraz z interaktywną synchronizacją)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55FABE" w14:textId="77777777" w:rsidR="00E445B6" w:rsidRDefault="00A82C0A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811B20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FA54C4" w14:textId="77777777" w:rsidR="00E445B6" w:rsidRDefault="00E445B6"/>
        </w:tc>
      </w:tr>
      <w:tr w:rsidR="00E445B6" w14:paraId="41BDFDAF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E5E18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0AF428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Specjalistyczne oprogramowanie do wirtualnej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kolonoskopii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możliwością obliczeń i pomiarów. Możliwość w pełni swobodnego poruszania się w obrębie jelita.</w:t>
            </w:r>
          </w:p>
          <w:p w14:paraId="474567C4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Możliwość jednoczesnej prezentacji wnętrza jelita i projekcji przekrojów w trzech głównych płaszczyznach. Interaktywna zmiana położenia kursora we wszystkich oknach wymienionych powyżej.</w:t>
            </w:r>
          </w:p>
          <w:p w14:paraId="4CAA9DB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Możliwość rozwinięcia ściany jelita na płaszczyźnie w postaci jednej wstęgi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72968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05B9B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B1B6C8" w14:textId="77777777" w:rsidR="00E445B6" w:rsidRDefault="00E445B6"/>
        </w:tc>
      </w:tr>
      <w:tr w:rsidR="00E445B6" w14:paraId="2F08AFC8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0B9F30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ADF058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Automatyczne usuwanie struktur kostnych z pozostawieniem wyłącznie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zakontrastowanego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drzewa naczyniowego. Możliwość prezentacji układu naczyniowego oraz przeziernych struktur kostnych w czasie rzeczywistym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EA49C4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1CD052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70DE30" w14:textId="77777777" w:rsidR="00E445B6" w:rsidRDefault="00E445B6"/>
        </w:tc>
      </w:tr>
      <w:tr w:rsidR="00E445B6" w14:paraId="622FE2E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4C450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01E2C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Najnowsza wersja oprogramowania do angiografii CT umożliwiające automatyczną identyfikację i izolację zakontraktowanego naczynia z objętości</w:t>
            </w:r>
          </w:p>
          <w:p w14:paraId="3B66E602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badanej (rozwinięcie wzdłuż linii centralnej naczynia, z pomiarem średnicy, pola przekroju w płaszczyźnie prostopadłej do osi naczynia,</w:t>
            </w:r>
          </w:p>
          <w:p w14:paraId="7592A727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automatyczne wyznaczanie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stenozy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(automatyczną segmentację i automatyczne pomiary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236780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46555E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5D603" w14:textId="77777777" w:rsidR="00E445B6" w:rsidRDefault="00E445B6"/>
        </w:tc>
      </w:tr>
      <w:tr w:rsidR="00E445B6" w14:paraId="63C2A70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212331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4FF621" w14:textId="77777777" w:rsidR="00E445B6" w:rsidRDefault="00A82C0A">
            <w:pPr>
              <w:pStyle w:val="Nagwek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Najnowsza wersja oprogramowania do badań perfuzyjnych mózgu umożliwiające ocenę ilościową i jakościową (mapy barwne) co najmniej następujących parametrów: </w:t>
            </w:r>
            <w:proofErr w:type="spellStart"/>
            <w:r>
              <w:rPr>
                <w:bCs/>
                <w:szCs w:val="24"/>
                <w:lang w:eastAsia="zh-CN"/>
              </w:rPr>
              <w:t>rBF</w:t>
            </w:r>
            <w:proofErr w:type="spellEnd"/>
            <w:r>
              <w:rPr>
                <w:bCs/>
                <w:szCs w:val="24"/>
                <w:lang w:eastAsia="zh-CN"/>
              </w:rPr>
              <w:t xml:space="preserve"> (miejscowy przepływ krwi), </w:t>
            </w:r>
            <w:proofErr w:type="spellStart"/>
            <w:r>
              <w:rPr>
                <w:bCs/>
                <w:szCs w:val="24"/>
                <w:lang w:eastAsia="zh-CN"/>
              </w:rPr>
              <w:t>rBV</w:t>
            </w:r>
            <w:proofErr w:type="spellEnd"/>
            <w:r>
              <w:rPr>
                <w:bCs/>
                <w:szCs w:val="24"/>
                <w:lang w:eastAsia="zh-CN"/>
              </w:rPr>
              <w:t xml:space="preserve"> (miejscowa objętość krwi), TTP lub MTT 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A215F9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31BDF5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514B4D" w14:textId="77777777" w:rsidR="00E445B6" w:rsidRDefault="00E445B6"/>
        </w:tc>
      </w:tr>
      <w:tr w:rsidR="00E445B6" w14:paraId="50B80E36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8DCFF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711C11" w14:textId="472727F6" w:rsidR="00E445B6" w:rsidRDefault="00A82C0A" w:rsidP="00E86B6F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B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Najnowsza wersja oprogramowania do oceny całego mózgowia umożliwiające co najmniej ocenę 4D-DSA, perfuzji 4D 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4E7506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EC072D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C1254" w14:textId="77777777" w:rsidR="00E445B6" w:rsidRDefault="00E445B6"/>
        </w:tc>
      </w:tr>
      <w:tr w:rsidR="00E445B6" w14:paraId="06F6541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06047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1E5EA5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Oprogramowanie do oceny perfuzji narządów miąższowych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5C3D1D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9A140C6" w14:textId="77777777" w:rsidR="00E445B6" w:rsidRDefault="00E445B6">
            <w:pPr>
              <w:pStyle w:val="Nagwek2"/>
              <w:jc w:val="center"/>
              <w:rPr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ED175" w14:textId="77777777" w:rsidR="00E445B6" w:rsidRDefault="00E445B6"/>
        </w:tc>
      </w:tr>
      <w:tr w:rsidR="00E445B6" w14:paraId="1D2B9193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03CC7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C8E01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Najnowsza wersja oprogramowania do efektywnej oceny badań onkologicznych z możliwością segmentacji zmiany, możliwością porównywania wielu badań tego samego pacjenta jednocześnie, wraz z synchronizacją przestrzenną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49451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EC7DC9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A28094" w14:textId="77777777" w:rsidR="00E445B6" w:rsidRDefault="00E445B6"/>
        </w:tc>
      </w:tr>
      <w:tr w:rsidR="00E445B6" w14:paraId="4C900AE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7C65C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597808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Możliwość klasyfikacji zmian nowotworowych zgodnie z kryteriami co najmniej RECIST 1.1 i WHO.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95EA499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EDD4552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B9160E" w14:textId="77777777" w:rsidR="00E445B6" w:rsidRDefault="00E445B6"/>
        </w:tc>
      </w:tr>
      <w:tr w:rsidR="00E445B6" w14:paraId="06B01ACE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FFF90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01F7C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Najnowsza wersja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oprogramowanie do oceny zmian ogniskowych w płucach, z automatyczną identyfikacją zmian guzkowych w miąższu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przyopłucnowych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program komputerowy, z możliwością zapamiętywania położenia zmian, automatyczną oceną dynamiki wielkości zmian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8AA25F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83E8A2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806BB1" w14:textId="77777777" w:rsidR="00E445B6" w:rsidRDefault="00E445B6"/>
        </w:tc>
      </w:tr>
      <w:tr w:rsidR="00E445B6" w14:paraId="55BA67D9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00F87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49172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Specjalistyczne oprogramowanie do diagnostyki chorób płuc /POCHP i rozedmy miąższowej/ umożliwiające obliczenie rozedmy i analizę dróg oddechowych. Możliwość oceny drzewa oskrzelowego w przypadku pacjentów z ciężką niewydolnością oddechową, ciężkimi zaburzenia rytmu serca z synchronizacją położenia kursora)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0AA4F7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675120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A017B5" w14:textId="77777777" w:rsidR="00E445B6" w:rsidRDefault="00E445B6"/>
        </w:tc>
      </w:tr>
      <w:tr w:rsidR="00E445B6" w14:paraId="6D22473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2EDBA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AD7E1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umożliwiające redukcję szumów od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pixeli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poprawiające stosunek sygnału do szumu oraz prezentację obrazów 3D oraz MPR CT i XA, zachowujące ostrość i szczegóły krawędzi, rozmiar przestrzenny, strukturę 3D w oryginalnych obrazach, zwłaszcza w obrazach płuc.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CC26D5" w14:textId="77777777" w:rsidR="00E445B6" w:rsidRDefault="00A82C0A">
            <w:pPr>
              <w:jc w:val="center"/>
            </w:pPr>
            <w:r>
              <w:t>TAK/NIE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FA7C70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84C455" w14:textId="77777777" w:rsidR="00E445B6" w:rsidRDefault="00E445B6">
            <w:pPr>
              <w:rPr>
                <w:bCs/>
                <w:lang w:eastAsia="zh-CN"/>
              </w:rPr>
            </w:pPr>
          </w:p>
          <w:p w14:paraId="076CBD16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TAK – 5 pkt</w:t>
            </w:r>
          </w:p>
          <w:p w14:paraId="719E9E0D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NIE – 0 pkt</w:t>
            </w:r>
          </w:p>
        </w:tc>
      </w:tr>
      <w:tr w:rsidR="00E445B6" w14:paraId="726C06F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713EC5D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5F99B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oceny badań zapalenia płuc oraz przypadków COVID-19. Możliwość wyliczenia i przedstawienia w postaci tabelarycznej:</w:t>
            </w:r>
          </w:p>
          <w:p w14:paraId="18987A24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indeksu zmian typu matowej szyby i zagęszczeń miąższowych: łącznego, dla lewego i prawego płuca,</w:t>
            </w:r>
          </w:p>
          <w:p w14:paraId="2C92723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objętości: łącznej, dla lewego i prawego płuca,</w:t>
            </w:r>
          </w:p>
          <w:p w14:paraId="0933CE12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objętości zmian typu matowej szyby i zagęszczeń miąższowych: łącznej, dla lewego i prawego płuca</w:t>
            </w:r>
          </w:p>
          <w:p w14:paraId="23753D37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udziału procentowego zmian typu matowej szyby i zagęszczeń miąższowych: łącznego, dla lewego i prawego płuca,</w:t>
            </w:r>
          </w:p>
          <w:p w14:paraId="63BA350E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Wizualizacja obszaru zmian typu matowej szyby i zagęszczeń miąższowych w widoku osiowym 2D oraz w widoku 3D  na tle widoku płuc.</w:t>
            </w:r>
          </w:p>
          <w:p w14:paraId="79923E4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Eksport wyników.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A6B8AEB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BD5FDF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13A34A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6EA3AA68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5548E6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E78FF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Rekonstrukcje 3D typu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Cinematic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Rendering, bazujące na dokładnej fizycznej symulacji oddziaływania światła z materią, realizujące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fotorealistyczny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rendering kształtów z uwzględnieniem rozpraszania fotonów światła, propagacji światła, interakcji światła z materią, głębokości (cieni), możliwe do otrzymania dla każdego badania CT, MR w formacie DICOM dostępnego na serwerze aplikacyjnym.</w:t>
            </w:r>
          </w:p>
          <w:p w14:paraId="598B817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Technika stosująca:</w:t>
            </w:r>
          </w:p>
          <w:p w14:paraId="57F2F15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oświetlanie każdego piksela bardzo dużą ilością źródeł światła z dowolnego kierunku,</w:t>
            </w:r>
          </w:p>
          <w:p w14:paraId="1E22B15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rozpraszanie/pochłanianie fotonów,</w:t>
            </w:r>
          </w:p>
          <w:p w14:paraId="33FB0D2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lub</w:t>
            </w:r>
          </w:p>
          <w:p w14:paraId="41359A18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mapy fotonowe.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655247" w14:textId="77777777" w:rsidR="00E445B6" w:rsidRDefault="00A82C0A">
            <w:pPr>
              <w:jc w:val="center"/>
            </w:pPr>
            <w:r>
              <w:t>TAK / 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12332E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4226D4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TAK – 5 pkt</w:t>
            </w:r>
          </w:p>
          <w:p w14:paraId="3FD878EB" w14:textId="77777777" w:rsidR="00E445B6" w:rsidRDefault="00A82C0A">
            <w:pPr>
              <w:jc w:val="center"/>
              <w:rPr>
                <w:bCs/>
              </w:rPr>
            </w:pPr>
            <w:r>
              <w:rPr>
                <w:bCs/>
              </w:rPr>
              <w:t>NIE – 0 pkt</w:t>
            </w:r>
          </w:p>
        </w:tc>
      </w:tr>
      <w:tr w:rsidR="00E445B6" w14:paraId="22E61FBB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7CD4C3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F1E4A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oceny parametrów czynnościowych lewej komory serca z pomiarem m.in. : objętości skurczowej, wyrzutowej, rozkurczowej, frakcji wyrzutowej,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masy mięśnia lewej komory,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grubości ściany lub kurczliwości odcinkowej oraz wizualizacją w 2D parametrów funkcjonalnych w postaci 17-segmentowego diagramu AHA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DE7CA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607778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D412E8" w14:textId="77777777" w:rsidR="00E445B6" w:rsidRDefault="00E445B6">
            <w:pPr>
              <w:rPr>
                <w:bCs/>
              </w:rPr>
            </w:pPr>
          </w:p>
        </w:tc>
      </w:tr>
      <w:tr w:rsidR="00E445B6" w14:paraId="397FCC1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15C0D6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7B9C7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do oceny parametrów czynnościowych prawej komory serca z pomiarem m.in.: objętości skurczowej, objętości rozkurczowej, objętości wyrzutowej, frakcji wyrzutowej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2E2592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642FA0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83E1F2" w14:textId="77777777" w:rsidR="00E445B6" w:rsidRDefault="00E445B6">
            <w:pPr>
              <w:rPr>
                <w:bCs/>
              </w:rPr>
            </w:pPr>
          </w:p>
        </w:tc>
      </w:tr>
      <w:tr w:rsidR="00E445B6" w14:paraId="615B70E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C48921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CCDB8D6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Automatyczna segmentacja jam serca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(min. 2 komory oraz przedsionek)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wraz z obliczaniem ich parametrów funkcjonalnych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38E1B4" w14:textId="77777777" w:rsidR="00E445B6" w:rsidRDefault="00A82C0A">
            <w:pPr>
              <w:jc w:val="center"/>
            </w:pPr>
            <w:r>
              <w:t>TAK/NIE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3788E3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8B45C8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TAK – 5 pkt</w:t>
            </w:r>
          </w:p>
          <w:p w14:paraId="5300D0EA" w14:textId="77777777" w:rsidR="00E445B6" w:rsidRDefault="00A82C0A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NIE – 0 pkt</w:t>
            </w:r>
          </w:p>
        </w:tc>
      </w:tr>
      <w:tr w:rsidR="00E445B6" w14:paraId="4E8D42A3" w14:textId="77777777" w:rsidTr="00D3062F">
        <w:trPr>
          <w:trHeight w:val="2869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0659B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AC32C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Specjalizowane oprogramowanie do oceny tętnic wieńcowych,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umożliwiające co najmniej: rekonstrukcję 3D naczynia, rekonstrukcje wielopłaszczyznowe, prezentację naczynia w dwóch prostopadłych płaszczyznach, automatyczną detekcję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zakontrastowanego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naczynia, rozwinięcie wzdłuż linii centralnej naczynia, pomiar średnicy, pola przekroju w płaszczyźnie prostopadłej, światła naczynia i automatyczne wyznaczanie, segmentację i pomiary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stenozy</w:t>
            </w:r>
            <w:proofErr w:type="spellEnd"/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257EDE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8104C9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A1497F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44DF2BBF" w14:textId="77777777" w:rsidTr="00D3062F">
        <w:trPr>
          <w:trHeight w:val="95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C42353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005C31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Oprogramowanie do oceny uwapnienia tętnic wieńcowych (obliczanie wskaźnika: masy,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Agatstona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 w badaniu bez użycia kontrastu.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DD9C24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BBF0D6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1320D4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2088AAFB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9E2A3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C61BB5" w14:textId="3EA3EBD3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Oprogramowanie do analizy blaszek miażdżycowych w tętnicach wieńcowych w oparciu o jednostki HU z prezentacją kodowaną kolorem.  Automatyczna </w:t>
            </w:r>
            <w:proofErr w:type="spellStart"/>
            <w:r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lastRenderedPageBreak/>
              <w:t>wizualizacji</w:t>
            </w:r>
            <w:r w:rsidR="00E86B6F"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blaszek miażdżycowych w naczyniach obwodowych z rozpoznawaniem ich gęstości i rodzaju (informacja ilościowa i jakościowa).  Automatyczne wyświetlanie i pomiary średnicy na</w:t>
            </w:r>
            <w:r w:rsidR="00EB58F1"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czynia,  jego pola powierzchni</w:t>
            </w:r>
            <w:r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, jej objętości, wskaźnika powierzchni ściany i światła naczynia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6121AA2C" w14:textId="77777777" w:rsidR="00E445B6" w:rsidRDefault="00E445B6">
            <w:pPr>
              <w:pStyle w:val="redniasiatka21"/>
              <w:rPr>
                <w:shd w:val="clear" w:color="auto" w:fill="FFFFFF"/>
              </w:rPr>
            </w:pP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38A3565" w14:textId="77777777" w:rsidR="00E445B6" w:rsidRDefault="00A82C0A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2F549C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CDB43F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5BB7B0AF" w14:textId="77777777" w:rsidTr="00D3062F">
        <w:trPr>
          <w:trHeight w:val="887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6142DB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2A6061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Oprogramowanie do oceny perfuzji mięśnia serca z wizualizacją w kolorze zmian hemodynamicznych w obszarach niedokrwiennych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C04B18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0DBA1A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A93DE1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508D6C76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02228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9F2B583" w14:textId="0A65F5BA" w:rsidR="00E445B6" w:rsidRDefault="00A82C0A" w:rsidP="00EB58F1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Wsparcie w badaniach CT w procesie planowania </w:t>
            </w:r>
            <w:proofErr w:type="spellStart"/>
            <w:r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stentu</w:t>
            </w:r>
            <w:proofErr w:type="spellEnd"/>
            <w:r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polegające na generowaniu raportów zawierających pomiary oraz zdjęcia</w:t>
            </w:r>
            <w:r w:rsidR="00EB58F1"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na postawie których</w:t>
            </w:r>
            <w:r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EB58F1"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można dokonać </w:t>
            </w:r>
            <w:r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planowania i wypełniania formularzy do zamówienia </w:t>
            </w:r>
            <w:proofErr w:type="spellStart"/>
            <w:r w:rsidRPr="00EB58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stentów</w:t>
            </w:r>
            <w:proofErr w:type="spellEnd"/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F2A25B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F620D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55E05F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7DE8285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86BD7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1E51F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umożliwiające wyświetlanie obrazów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monoenergetycznych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ściśle określonej energii pochodzących z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CT, w tym z wizualizacją obrazu optymalnego kontrastu, z możliwością redukcji artefaktów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E3B8097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BC11777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AE1EC0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2F3F8A40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41E8D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8DF5EA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do oceny badań organów miąższowych (m.in. wątroby) wykonanych metodą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CT, umożliwiające:</w:t>
            </w:r>
          </w:p>
          <w:p w14:paraId="6E1FF73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wyznaczenie koncentracji środka kontrastowego w postaci kolorowych map, w tkankach oraz zmianach,</w:t>
            </w:r>
          </w:p>
          <w:p w14:paraId="5B5CA1E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możliwość płynnej zmiany wyświetlania pomiędzy kolorowym obrazem środka kontrastowego oraz bez środka kontrastowego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BCAE9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82476B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FAC40B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5318DF9C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A79231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A0381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do oceny dny moczanowej w badaniach wykonanych metodą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umożliwiające:</w:t>
            </w:r>
          </w:p>
          <w:p w14:paraId="23944A6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wizualizacja w kolorze złogów szczawianowych w kończynach</w:t>
            </w:r>
          </w:p>
          <w:p w14:paraId="0AF6CEE0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różnicowanie kolorem moczanu, kości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6B141C" w14:textId="77777777" w:rsidR="00E445B6" w:rsidRDefault="00A82C0A">
            <w:pPr>
              <w:jc w:val="center"/>
            </w:pPr>
            <w:r>
              <w:lastRenderedPageBreak/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EF3A8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A459E2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0AF1040C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C47397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74633F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Oprogramowanie umożliwiające:</w:t>
            </w:r>
          </w:p>
          <w:p w14:paraId="331039A2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wyświetlanie obrazów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monoenergetycznych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ściśle określonej energii (wybór ze skokiem nie większym od 5keV z zakresu min. 40 - 140keV) pochodzących z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07FDC36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wyświetlanie histogramów podających efektywną masę atomową pierwiastków zawartych w obszarze zainteresowania ROI w obrazach uzyskanych w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42FCDB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wyświetlanie mapy koncentracji jodu umożliwiające wykrywanie minimalnych stężeń jodu w obrazach uzyskanych w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8F3FE56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jednoczesny dostęp dla min. jednego użytkownika.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70F1B3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EF52C4D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B182BA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7E980F3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34F81B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1F030C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pozwalające na wyświetlanie wirtualnych obrazów natywnych (VNC) z obrazów wykonanych po podaniu kontrastu uzyskanych w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</w:p>
          <w:p w14:paraId="32C491AB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jednoczesny dostęp dla min. jednego użytkownika.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150A57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43A6E7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BBFCA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30F2E6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04B895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429D87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umożliwiające analizę szpiku kostnego z wykorzystaniem danych uzyskanych w akwizycji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CT bez kontrastu, z możliwością</w:t>
            </w:r>
          </w:p>
          <w:p w14:paraId="2462FB4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fuzja obrazów na widokach MPR obrazu CT i kolorowej nakładki obrazującej szpik kostny,</w:t>
            </w:r>
          </w:p>
          <w:p w14:paraId="044E40F7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możliwość płynnej zmiany pomiędzy obrazem CT MPR a nakładką z obrazem szpiku kostnego.</w:t>
            </w:r>
          </w:p>
          <w:p w14:paraId="491EEE5D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wyświetlanie w widoku 3D VRT obrazu mieszanego.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2AB4D30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BCF764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6B7FB6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20933193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74E61C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ACAA31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do dokładnej oceny badań naczyniowych wykonanych w technice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dwuenergetycznej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pozwalające na zróżnicowanie środka kontrastowego, krwi.</w:t>
            </w:r>
          </w:p>
          <w:p w14:paraId="660A1AD3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Precyzyjne różnicowanie zwapnień od środka kontrastowego, wyodrębnianie skomplikowanych struktur naczyniowych, w szczególności u podstawy czaszki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B4089D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BB4176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7CAF7D9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128A2535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E1A3E7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59A40A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do oceny badań organów miąższowych (m.in. wątroby) wykonanych metodą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CT, umożliwiające wyznaczenie koncentracji środka kontrastowego w postaci kolorowych map, w tkankach oraz zmianach,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F70CA5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5ACD6E7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BD4843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62C4C54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C2273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663A79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Oprogramowanie do oceny badań perfuzji mięśnia sercowego wykonanych metodą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dwuenergetyczną</w:t>
            </w:r>
            <w:proofErr w:type="spellEnd"/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DE0C3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087BF7F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CA4E57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3D786B4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78FB7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550DD5" w14:textId="77777777" w:rsidR="00E445B6" w:rsidRDefault="00A82C0A">
            <w:pPr>
              <w:pStyle w:val="redniasiatka2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Możliwość szczegółowej oceny pierścienia aortalnego do planowania przezskórnego wszczepienia zastawki aortalnej (TAVI, TAVR) z automatycznym lub półautomatycznym wyznaczaniem ustawień LAO/RAO i CRAN/CAUD dla ramienia C.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2005DEC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2013C1" w14:textId="77777777" w:rsidR="00E445B6" w:rsidRDefault="00E445B6">
            <w:pPr>
              <w:pStyle w:val="Nagwek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2B7F8" w14:textId="77777777" w:rsidR="00E445B6" w:rsidRDefault="00E445B6">
            <w:pPr>
              <w:rPr>
                <w:bCs/>
                <w:lang w:eastAsia="zh-CN"/>
              </w:rPr>
            </w:pPr>
          </w:p>
        </w:tc>
      </w:tr>
      <w:tr w:rsidR="00E445B6" w14:paraId="1F955925" w14:textId="77777777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B94A61" w14:textId="77777777" w:rsidR="00E445B6" w:rsidRDefault="00E445B6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1375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674A2D" w14:textId="77777777" w:rsidR="00E445B6" w:rsidRDefault="00A82C0A">
            <w:pPr>
              <w:pStyle w:val="Nagwek2"/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INNE</w:t>
            </w:r>
          </w:p>
        </w:tc>
      </w:tr>
      <w:tr w:rsidR="00E445B6" w14:paraId="68E409D0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89AE2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FEA82C8" w14:textId="77777777" w:rsidR="00E445B6" w:rsidRDefault="00A82C0A">
            <w:r>
              <w:t>Interkom pomiędzy sterownią a pokojem badań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2A7F51F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0735E2A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F011B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5B32066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F595F1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A17F65" w14:textId="77777777" w:rsidR="00E445B6" w:rsidRDefault="00A82C0A">
            <w:r>
              <w:t xml:space="preserve">Automatyczny, trzykanałowy </w:t>
            </w:r>
            <w:proofErr w:type="spellStart"/>
            <w:r>
              <w:t>wstrzykiwacz</w:t>
            </w:r>
            <w:proofErr w:type="spellEnd"/>
            <w:r>
              <w:t xml:space="preserve"> kontrastu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A12C92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A379FA7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F48F80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401D5A9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92D7724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405700" w14:textId="77777777" w:rsidR="00E445B6" w:rsidRDefault="00A82C0A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Podłączenie urządzeń (TK, stacji lekarskich/serwera aplikacyjnego) do systemu PACS/RIS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567A4F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9F045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7636B3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5C6C2C24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299D29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7F1837" w14:textId="77777777" w:rsidR="00E445B6" w:rsidRDefault="00A82C0A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Instalacja tomografu wraz z konsolami lekarskimi / serwerem aplikacyjnym w pomieszczeniach wskazanych przez Zamawiającego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D0EC84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0E6B9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41EE9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158F33E5" w14:textId="77777777" w:rsidTr="00D3062F">
        <w:trPr>
          <w:trHeight w:val="900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E64DE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465A52" w14:textId="77777777" w:rsidR="00E445B6" w:rsidRDefault="00A82C0A">
            <w:pPr>
              <w:rPr>
                <w:shd w:val="clear" w:color="auto" w:fill="FFFFFF"/>
                <w:lang w:eastAsia="hi-IN" w:bidi="hi-IN"/>
              </w:rPr>
            </w:pPr>
            <w:r>
              <w:rPr>
                <w:shd w:val="clear" w:color="auto" w:fill="FFFFFF"/>
                <w:lang w:eastAsia="hi-IN" w:bidi="hi-IN"/>
              </w:rPr>
              <w:t>Zdalna diagnostyka serwisowa tomografu komputerowego z możliwością oceny technicznej poszczególnych modułów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03F4B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D03D7E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D3CDE8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668C4291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C6A046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FF6D3B" w14:textId="77777777" w:rsidR="00E445B6" w:rsidRDefault="00A82C0A">
            <w:r>
              <w:t xml:space="preserve">Maksymalna moc przyłączeniowa tomografu </w:t>
            </w:r>
            <w:r>
              <w:lastRenderedPageBreak/>
              <w:t xml:space="preserve">komputerowego (wraz z systemem chłodzenia, jeśli jest wymagany do zapewnienia prawidłowej pracy systemu) </w:t>
            </w:r>
            <w:r>
              <w:rPr>
                <w:u w:val="single"/>
              </w:rPr>
              <w:t>&lt;</w:t>
            </w:r>
            <w:r>
              <w:t xml:space="preserve"> 150kVA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10E3512" w14:textId="77777777" w:rsidR="00E445B6" w:rsidRDefault="00A82C0A">
            <w:pPr>
              <w:jc w:val="center"/>
              <w:rPr>
                <w:rFonts w:eastAsia="Arial Narrow"/>
              </w:rPr>
            </w:pPr>
            <w:r>
              <w:rPr>
                <w:rFonts w:eastAsia="Arial Narrow"/>
              </w:rPr>
              <w:lastRenderedPageBreak/>
              <w:t>Podać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16B5B4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457CC8" w14:textId="77777777" w:rsidR="00E445B6" w:rsidRDefault="00A82C0A">
            <w:pPr>
              <w:jc w:val="center"/>
            </w:pPr>
            <w:r>
              <w:t>&gt;140 kVA – 0 pkt</w:t>
            </w:r>
          </w:p>
          <w:p w14:paraId="5FD0C116" w14:textId="77777777" w:rsidR="00E445B6" w:rsidRDefault="00A82C0A">
            <w:pPr>
              <w:jc w:val="center"/>
            </w:pPr>
            <w:r>
              <w:rPr>
                <w:u w:val="single"/>
              </w:rPr>
              <w:lastRenderedPageBreak/>
              <w:t>&lt;</w:t>
            </w:r>
            <w:r>
              <w:t xml:space="preserve"> 140 kVA – 10 pkt</w:t>
            </w:r>
          </w:p>
        </w:tc>
      </w:tr>
      <w:tr w:rsidR="00E445B6" w14:paraId="042F30DF" w14:textId="77777777" w:rsidTr="00D3062F">
        <w:trPr>
          <w:trHeight w:val="4241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DE2A77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3F648F" w14:textId="507204B9" w:rsidR="00E445B6" w:rsidRDefault="00A82C0A">
            <w:pPr>
              <w:rPr>
                <w:shd w:val="clear" w:color="auto" w:fill="FFFFFF"/>
                <w:lang w:eastAsia="hi-IN" w:bidi="hi-IN"/>
              </w:rPr>
            </w:pPr>
            <w:r>
              <w:rPr>
                <w:shd w:val="clear" w:color="auto" w:fill="FFFFFF"/>
                <w:lang w:eastAsia="hi-IN" w:bidi="hi-IN"/>
              </w:rPr>
              <w:t xml:space="preserve">Pełna gwarancja (bez </w:t>
            </w:r>
            <w:proofErr w:type="spellStart"/>
            <w:r>
              <w:rPr>
                <w:shd w:val="clear" w:color="auto" w:fill="FFFFFF"/>
                <w:lang w:eastAsia="hi-IN" w:bidi="hi-IN"/>
              </w:rPr>
              <w:t>wyłączeń</w:t>
            </w:r>
            <w:proofErr w:type="spellEnd"/>
            <w:r>
              <w:rPr>
                <w:shd w:val="clear" w:color="auto" w:fill="FFFFFF"/>
                <w:lang w:eastAsia="hi-IN" w:bidi="hi-IN"/>
              </w:rPr>
              <w:t xml:space="preserve">) na dostarczony sprzęt i oprogramowanie na okres min. </w:t>
            </w:r>
            <w:r w:rsidR="008135B7">
              <w:rPr>
                <w:shd w:val="clear" w:color="auto" w:fill="FFFFFF"/>
                <w:lang w:eastAsia="hi-IN" w:bidi="hi-IN"/>
              </w:rPr>
              <w:t xml:space="preserve">36 </w:t>
            </w:r>
            <w:r>
              <w:rPr>
                <w:shd w:val="clear" w:color="auto" w:fill="FFFFFF"/>
                <w:lang w:eastAsia="hi-IN" w:bidi="hi-IN"/>
              </w:rPr>
              <w:t xml:space="preserve">miesięcy (liczona od daty odbioru przedmiotu umowy protokołem technicznym), obejmująca wszystkie elementy systemu, w tym lampę </w:t>
            </w:r>
            <w:proofErr w:type="spellStart"/>
            <w:r>
              <w:rPr>
                <w:shd w:val="clear" w:color="auto" w:fill="FFFFFF"/>
                <w:lang w:eastAsia="hi-IN" w:bidi="hi-IN"/>
              </w:rPr>
              <w:t>rtg</w:t>
            </w:r>
            <w:proofErr w:type="spellEnd"/>
            <w:r>
              <w:rPr>
                <w:shd w:val="clear" w:color="auto" w:fill="FFFFFF"/>
                <w:lang w:eastAsia="hi-IN" w:bidi="hi-IN"/>
              </w:rPr>
              <w:t>, naprawy, dojazdy, przeglądy (ilość zgodna z zaleceniami producenta) realizowana przez autoryzowany serwis producenta tomografu na terenie RP i w oparciu o oryginalne części producenta tomografu.</w:t>
            </w:r>
          </w:p>
          <w:p w14:paraId="7A01A41A" w14:textId="77777777" w:rsidR="00E445B6" w:rsidRDefault="00A82C0A">
            <w:pPr>
              <w:rPr>
                <w:shd w:val="clear" w:color="auto" w:fill="FFFFFF"/>
                <w:lang w:eastAsia="hi-IN" w:bidi="hi-IN"/>
              </w:rPr>
            </w:pPr>
            <w:r>
              <w:rPr>
                <w:shd w:val="clear" w:color="auto" w:fill="FFFFFF"/>
                <w:lang w:eastAsia="hi-IN" w:bidi="hi-IN"/>
              </w:rPr>
              <w:t>Czynności muszą być wykonywane przez inżynierów serwisowy władający językiem polskim i posiadający certyfikat ukończenia przeprowadzonych przez producenta tomografu szkoleń w zakresie obsługi serwisowej dostarczonego modelu tomografu</w:t>
            </w:r>
            <w:r w:rsidR="00323A46">
              <w:rPr>
                <w:shd w:val="clear" w:color="auto" w:fill="FFFFFF"/>
                <w:lang w:eastAsia="hi-IN" w:bidi="hi-IN"/>
              </w:rPr>
              <w:t>. Wraz z aparatem dostarczyć instrukcję obsługi w języku polskim.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C0177DA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F5FAA28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0F90B5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</w:tr>
      <w:tr w:rsidR="00E445B6" w14:paraId="3375051F" w14:textId="77777777" w:rsidTr="00D3062F">
        <w:trPr>
          <w:trHeight w:val="874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728892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EE0D4D" w14:textId="77777777" w:rsidR="00E445B6" w:rsidRDefault="00A82C0A">
            <w:pPr>
              <w:rPr>
                <w:shd w:val="clear" w:color="auto" w:fill="FFFFFF"/>
                <w:lang w:eastAsia="hi-IN" w:bidi="hi-IN"/>
              </w:rPr>
            </w:pPr>
            <w:r>
              <w:rPr>
                <w:shd w:val="clear" w:color="auto" w:fill="FFFFFF"/>
                <w:lang w:eastAsia="hi-IN" w:bidi="hi-IN"/>
              </w:rPr>
              <w:t>Możliwość zgłaszania awarii na infolinię serwisową , czynną 24 godziny na dobę, 365 dni w roku.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8108A7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535EC06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C7799" w14:textId="77777777" w:rsidR="00E445B6" w:rsidRDefault="00E445B6">
            <w:pPr>
              <w:jc w:val="center"/>
            </w:pPr>
          </w:p>
        </w:tc>
      </w:tr>
      <w:tr w:rsidR="00E445B6" w14:paraId="653F0A5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523641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F813BD" w14:textId="77777777" w:rsidR="00E445B6" w:rsidRDefault="00A82C0A">
            <w:r>
              <w:t>Czas reakcji serwisu w okresie gwarancji do 24 godzin (przyjazd na wezwanie).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19EF02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8F30627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3FEB9F" w14:textId="77777777" w:rsidR="00E445B6" w:rsidRDefault="00E445B6">
            <w:pPr>
              <w:jc w:val="center"/>
            </w:pPr>
          </w:p>
        </w:tc>
      </w:tr>
      <w:tr w:rsidR="00E445B6" w14:paraId="20CBDEA7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7D057F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48BB11" w14:textId="77777777" w:rsidR="00E445B6" w:rsidRDefault="00A82C0A">
            <w:r>
              <w:t>Każda naprawa gwarancyjna powoduje przedłużenie okresu gwarancji o liczbę dni  wyłączenia sprzętu z eksploatacji.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3D6486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46515B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ABE062" w14:textId="77777777" w:rsidR="00E445B6" w:rsidRDefault="00E445B6">
            <w:pPr>
              <w:jc w:val="center"/>
            </w:pPr>
          </w:p>
        </w:tc>
      </w:tr>
      <w:tr w:rsidR="00E445B6" w14:paraId="25718E0A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297858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9FAB356" w14:textId="77777777" w:rsidR="00E445B6" w:rsidRDefault="00A82C0A">
            <w:r>
              <w:t xml:space="preserve">Czas naprawy (nie wymagający sprowadzenia części zamiennych – maks. 5 dni </w:t>
            </w:r>
            <w:proofErr w:type="spellStart"/>
            <w:r>
              <w:t>roboczych</w:t>
            </w:r>
            <w:r w:rsidR="00323A46">
              <w:t>.W</w:t>
            </w:r>
            <w:proofErr w:type="spellEnd"/>
            <w:r w:rsidR="00323A46">
              <w:t xml:space="preserve"> przypadku gdy naprawa wymaga sprowadzenie części zamiennych termin zostaje wydłużony do 10 dni roboczych.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BEF59C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E135D1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DA6C18" w14:textId="77777777" w:rsidR="00E445B6" w:rsidRDefault="00E445B6">
            <w:pPr>
              <w:jc w:val="center"/>
            </w:pPr>
          </w:p>
        </w:tc>
      </w:tr>
      <w:tr w:rsidR="00E445B6" w14:paraId="6F0E7782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62EDC0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E47A99B" w14:textId="77777777" w:rsidR="00E445B6" w:rsidRDefault="00A82C0A">
            <w:r>
              <w:t xml:space="preserve">Szkolenie aplikacyjne dla techników i lekarzy w siedzibie Zamawiającego – pierwsze po uzyskaniu pozwoleń min. 5 dni po 8 godzin/dzień potwierdzone wydanymi certyfikatami, drugie przypominające w terminie uzgodnionym z zamawiającym w wymiarze min. 5 dni x 8 </w:t>
            </w:r>
            <w:proofErr w:type="spellStart"/>
            <w:r>
              <w:t>godz</w:t>
            </w:r>
            <w:proofErr w:type="spellEnd"/>
          </w:p>
          <w:p w14:paraId="5E426464" w14:textId="77777777" w:rsidR="00E445B6" w:rsidRDefault="00A82C0A">
            <w:r>
              <w:t>Czynności muszą być wykonywane przez specjalistów aplikacji władający językiem polskim i posiadający certyfikat ukończenia przeprowadzonych przez producenta tomografu szkoleń w zakresie obsługi aplikacyjnej dostarczonego modelu tomografu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123C4D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AA025FF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DE812D" w14:textId="77777777" w:rsidR="00E445B6" w:rsidRDefault="00E445B6">
            <w:pPr>
              <w:jc w:val="center"/>
            </w:pPr>
          </w:p>
        </w:tc>
      </w:tr>
      <w:tr w:rsidR="00E445B6" w14:paraId="53879617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0BA01A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E09D23F" w14:textId="77777777" w:rsidR="00E445B6" w:rsidRDefault="00A82C0A">
            <w:r>
              <w:t>Przeszkolenie personelu technicznego w zakresie podstawowej obsługi, eksploatacji, konserwacji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9D39BB3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08C938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1C1CBE" w14:textId="77777777" w:rsidR="00E445B6" w:rsidRDefault="00E445B6">
            <w:pPr>
              <w:jc w:val="center"/>
            </w:pPr>
          </w:p>
        </w:tc>
      </w:tr>
      <w:tr w:rsidR="00E445B6" w14:paraId="57A07F7D" w14:textId="77777777" w:rsidTr="00D3062F"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95CDDE" w14:textId="77777777" w:rsidR="00E445B6" w:rsidRDefault="00E445B6">
            <w:pPr>
              <w:numPr>
                <w:ilvl w:val="0"/>
                <w:numId w:val="3"/>
              </w:numPr>
              <w:tabs>
                <w:tab w:val="left" w:pos="450"/>
              </w:tabs>
              <w:jc w:val="center"/>
            </w:pPr>
          </w:p>
        </w:tc>
        <w:tc>
          <w:tcPr>
            <w:tcW w:w="52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078B7F" w14:textId="77777777" w:rsidR="00E445B6" w:rsidRDefault="00A82C0A">
            <w:r>
              <w:t>Dostępność części zamiennych tomografu komputerowego min. 10 lat, dla systemów IT min. 5 lat.</w:t>
            </w:r>
          </w:p>
        </w:tc>
        <w:tc>
          <w:tcPr>
            <w:tcW w:w="14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D7F7CC6" w14:textId="77777777" w:rsidR="00E445B6" w:rsidRDefault="00A82C0A">
            <w:pPr>
              <w:jc w:val="center"/>
            </w:pPr>
            <w:r>
              <w:t>TAK</w:t>
            </w:r>
          </w:p>
        </w:tc>
        <w:tc>
          <w:tcPr>
            <w:tcW w:w="25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E298A9" w14:textId="77777777" w:rsidR="00E445B6" w:rsidRDefault="00E445B6">
            <w:pPr>
              <w:pStyle w:val="Nagwek2"/>
              <w:tabs>
                <w:tab w:val="left" w:pos="0"/>
              </w:tabs>
              <w:jc w:val="center"/>
              <w:rPr>
                <w:b/>
                <w:i/>
                <w:szCs w:val="24"/>
              </w:rPr>
            </w:pPr>
          </w:p>
        </w:tc>
        <w:tc>
          <w:tcPr>
            <w:tcW w:w="4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077857" w14:textId="77777777" w:rsidR="00E445B6" w:rsidRDefault="00E445B6">
            <w:pPr>
              <w:jc w:val="center"/>
            </w:pPr>
          </w:p>
        </w:tc>
      </w:tr>
    </w:tbl>
    <w:p w14:paraId="4347CF1A" w14:textId="77777777" w:rsidR="00E445B6" w:rsidRDefault="00E445B6">
      <w:pPr>
        <w:jc w:val="both"/>
        <w:rPr>
          <w:sz w:val="20"/>
          <w:szCs w:val="20"/>
        </w:rPr>
      </w:pPr>
    </w:p>
    <w:p w14:paraId="34E0F97A" w14:textId="77777777" w:rsidR="00E445B6" w:rsidRDefault="00E445B6">
      <w:pPr>
        <w:jc w:val="both"/>
        <w:rPr>
          <w:sz w:val="20"/>
          <w:szCs w:val="20"/>
        </w:rPr>
      </w:pPr>
    </w:p>
    <w:p w14:paraId="35CF9FC7" w14:textId="77777777" w:rsidR="00E445B6" w:rsidRDefault="00A82C0A">
      <w:pPr>
        <w:rPr>
          <w:sz w:val="20"/>
          <w:szCs w:val="20"/>
        </w:rPr>
      </w:pPr>
      <w:r>
        <w:rPr>
          <w:sz w:val="20"/>
          <w:szCs w:val="20"/>
        </w:rPr>
        <w:t>Uwagi i objaśnienia:</w:t>
      </w:r>
    </w:p>
    <w:p w14:paraId="793162B1" w14:textId="77777777" w:rsidR="00E445B6" w:rsidRDefault="00A82C0A">
      <w:pPr>
        <w:numPr>
          <w:ilvl w:val="0"/>
          <w:numId w:val="2"/>
        </w:numPr>
        <w:tabs>
          <w:tab w:val="clear" w:pos="720"/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76A4127D" w14:textId="77777777" w:rsidR="00E445B6" w:rsidRDefault="00A82C0A">
      <w:pPr>
        <w:numPr>
          <w:ilvl w:val="0"/>
          <w:numId w:val="2"/>
        </w:numPr>
        <w:tabs>
          <w:tab w:val="clear" w:pos="720"/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Parametry o określonych warunkach liczbowych ( „&gt;”  lub „&lt;” ) są warunkami granicznymi, których niespełnienie spowoduje odrzucenie oferty. Wartość podana przy znaku  „=” oznacza wartość wymaganą.</w:t>
      </w:r>
    </w:p>
    <w:p w14:paraId="0F663EB9" w14:textId="77777777" w:rsidR="00E445B6" w:rsidRDefault="00A82C0A">
      <w:pPr>
        <w:numPr>
          <w:ilvl w:val="0"/>
          <w:numId w:val="2"/>
        </w:numPr>
        <w:tabs>
          <w:tab w:val="clear" w:pos="720"/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Brak odpowiedzi w przypadku pozostałych warunków, punktowany będzie jako 0.</w:t>
      </w:r>
    </w:p>
    <w:p w14:paraId="6080F5AE" w14:textId="77777777" w:rsidR="00E445B6" w:rsidRDefault="00A82C0A">
      <w:pPr>
        <w:numPr>
          <w:ilvl w:val="0"/>
          <w:numId w:val="2"/>
        </w:numPr>
        <w:tabs>
          <w:tab w:val="clear" w:pos="720"/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Wykonawca zobowiązany jest do podania parametrów w jednostkach wskazanych w niniejszym opisie.</w:t>
      </w:r>
    </w:p>
    <w:p w14:paraId="4E5DF013" w14:textId="26275BA0" w:rsidR="00E445B6" w:rsidRDefault="00A82C0A">
      <w:pPr>
        <w:numPr>
          <w:ilvl w:val="0"/>
          <w:numId w:val="2"/>
        </w:numPr>
        <w:tabs>
          <w:tab w:val="clear" w:pos="720"/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Celem weryfikacji zaoferowanych przez Wykonawcę w niniejszym postępowaniu wartości (nie tylko liczbowych) parametrów w relacji do parametrów wymaganych i / lub spełnienia warunków granicznych, dostarczymy materiały opisowe pochodzące od producenta takie jak: oryginalne ulotki, katalogi, opisy przedmiotu zamówienia, dokumentację techniczną oferowanego sprzętu/ przedmiotu zamówienia, instrukcje obsługi itp. </w:t>
      </w:r>
    </w:p>
    <w:p w14:paraId="04CFD6E8" w14:textId="77777777" w:rsidR="00D3062F" w:rsidRDefault="00D3062F">
      <w:pPr>
        <w:numPr>
          <w:ilvl w:val="0"/>
          <w:numId w:val="2"/>
        </w:numPr>
        <w:tabs>
          <w:tab w:val="clear" w:pos="720"/>
          <w:tab w:val="left" w:pos="0"/>
        </w:tabs>
        <w:rPr>
          <w:b/>
          <w:sz w:val="20"/>
          <w:szCs w:val="20"/>
        </w:rPr>
      </w:pPr>
      <w:r w:rsidRPr="00D3062F">
        <w:rPr>
          <w:b/>
          <w:sz w:val="20"/>
          <w:szCs w:val="20"/>
        </w:rPr>
        <w:t>W tabelce podać numer strony katalogu, na której znajduje się opis parametru, a w katalogu należy wyróżnić kolorem lud wpisać numer parametru, którego dany opis dotyczy.</w:t>
      </w:r>
    </w:p>
    <w:p w14:paraId="46430F7C" w14:textId="01014360" w:rsidR="004F360D" w:rsidRPr="00D3062F" w:rsidRDefault="004F360D">
      <w:pPr>
        <w:numPr>
          <w:ilvl w:val="0"/>
          <w:numId w:val="2"/>
        </w:numPr>
        <w:tabs>
          <w:tab w:val="clear" w:pos="720"/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Wymagania z punktów 5. i 6. dotyczą pozycji 1-138 oraz 144 tabeli.</w:t>
      </w:r>
    </w:p>
    <w:sectPr w:rsidR="004F360D" w:rsidRPr="00D3062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ma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charset w:val="EE"/>
    <w:family w:val="roman"/>
    <w:pitch w:val="variable"/>
  </w:font>
  <w:font w:name="Opti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60D7C"/>
    <w:multiLevelType w:val="multilevel"/>
    <w:tmpl w:val="0BD67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19D4193C"/>
    <w:multiLevelType w:val="multilevel"/>
    <w:tmpl w:val="9CD0667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653018"/>
    <w:multiLevelType w:val="multilevel"/>
    <w:tmpl w:val="95FC6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9364C"/>
    <w:multiLevelType w:val="multilevel"/>
    <w:tmpl w:val="6062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5682C91"/>
    <w:multiLevelType w:val="multilevel"/>
    <w:tmpl w:val="DC86B2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5C94D2C"/>
    <w:multiLevelType w:val="multilevel"/>
    <w:tmpl w:val="86784F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667FF7"/>
    <w:multiLevelType w:val="multilevel"/>
    <w:tmpl w:val="DC9A8AAA"/>
    <w:lvl w:ilvl="0">
      <w:start w:val="1"/>
      <w:numFmt w:val="bullet"/>
      <w:lvlText w:val=""/>
      <w:lvlJc w:val="left"/>
      <w:pPr>
        <w:tabs>
          <w:tab w:val="num" w:pos="0"/>
        </w:tabs>
        <w:ind w:left="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 w:hint="default"/>
        <w:b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 w:cs="Wingdings" w:hint="default"/>
        <w:b/>
        <w:sz w:val="18"/>
        <w:szCs w:val="18"/>
      </w:rPr>
    </w:lvl>
  </w:abstractNum>
  <w:num w:numId="1" w16cid:durableId="1836257572">
    <w:abstractNumId w:val="6"/>
  </w:num>
  <w:num w:numId="2" w16cid:durableId="143131084">
    <w:abstractNumId w:val="3"/>
  </w:num>
  <w:num w:numId="3" w16cid:durableId="603001942">
    <w:abstractNumId w:val="0"/>
  </w:num>
  <w:num w:numId="4" w16cid:durableId="1681814384">
    <w:abstractNumId w:val="2"/>
  </w:num>
  <w:num w:numId="5" w16cid:durableId="2113551708">
    <w:abstractNumId w:val="1"/>
  </w:num>
  <w:num w:numId="6" w16cid:durableId="938490668">
    <w:abstractNumId w:val="5"/>
  </w:num>
  <w:num w:numId="7" w16cid:durableId="10917831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B6"/>
    <w:rsid w:val="00061AA0"/>
    <w:rsid w:val="000941DB"/>
    <w:rsid w:val="000D0B86"/>
    <w:rsid w:val="00193583"/>
    <w:rsid w:val="00323A46"/>
    <w:rsid w:val="004F360D"/>
    <w:rsid w:val="0051725D"/>
    <w:rsid w:val="00581827"/>
    <w:rsid w:val="008135B7"/>
    <w:rsid w:val="00A82C0A"/>
    <w:rsid w:val="00C30296"/>
    <w:rsid w:val="00D3062F"/>
    <w:rsid w:val="00E445B6"/>
    <w:rsid w:val="00E86B6F"/>
    <w:rsid w:val="00E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9947"/>
  <w15:docId w15:val="{798A17E4-3742-4406-8781-5CC26B7E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lang w:eastAsia="pl-PL" w:bidi="ar-SA"/>
    </w:rPr>
  </w:style>
  <w:style w:type="paragraph" w:styleId="Nagwek1">
    <w:name w:val="heading 1"/>
    <w:basedOn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szCs w:val="20"/>
    </w:rPr>
  </w:style>
  <w:style w:type="paragraph" w:styleId="Nagwek4">
    <w:name w:val="heading 4"/>
    <w:basedOn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keepNext/>
      <w:keepLines/>
      <w:spacing w:before="40"/>
      <w:outlineLvl w:val="4"/>
    </w:pPr>
    <w:rPr>
      <w:rFonts w:ascii="Calibri Light" w:hAnsi="Calibri Light"/>
      <w:color w:val="2E74B5"/>
      <w:szCs w:val="22"/>
      <w:lang w:eastAsia="en-US"/>
    </w:rPr>
  </w:style>
  <w:style w:type="paragraph" w:styleId="Nagwek6">
    <w:name w:val="heading 6"/>
    <w:basedOn w:val="Normalny"/>
    <w:qFormat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qFormat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Cs w:val="22"/>
      <w:lang w:eastAsia="en-US"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Arial"/>
      <w:lang w:eastAsia="pl-PL"/>
    </w:rPr>
  </w:style>
  <w:style w:type="character" w:styleId="Hipercze">
    <w:name w:val="Hyperlink"/>
    <w:rPr>
      <w:strike w:val="0"/>
      <w:dstrike w:val="0"/>
      <w:color w:val="000080"/>
      <w:u w:val="none"/>
      <w:effect w:val="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qFormat/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9z0">
    <w:name w:val="WW8Num9z0"/>
    <w:qFormat/>
    <w:rPr>
      <w:rFonts w:ascii="StarSymbol" w:hAnsi="StarSymbol"/>
    </w:rPr>
  </w:style>
  <w:style w:type="character" w:customStyle="1" w:styleId="TytuZnak">
    <w:name w:val="Tytuł Znak"/>
    <w:basedOn w:val="Domylnaczcionkaakapitu"/>
    <w:qFormat/>
    <w:rPr>
      <w:rFonts w:ascii="Calibri" w:eastAsia="Calibri" w:hAnsi="Calibri" w:cs="Times New Roman"/>
      <w:b/>
      <w:bCs/>
      <w:sz w:val="28"/>
      <w:u w:val="single"/>
    </w:rPr>
  </w:style>
  <w:style w:type="character" w:customStyle="1" w:styleId="HeaderChar">
    <w:name w:val="Header Char"/>
    <w:qFormat/>
    <w:rPr>
      <w:lang w:val="pl-PL" w:eastAsia="pl-PL" w:bidi="ar-SA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qFormat/>
  </w:style>
  <w:style w:type="character" w:customStyle="1" w:styleId="apple-style-span">
    <w:name w:val="apple-style-span"/>
    <w:qFormat/>
    <w:rPr>
      <w:rFonts w:ascii="Times New Roman" w:hAnsi="Times New Roman" w:cs="Times New Roman"/>
    </w:rPr>
  </w:style>
  <w:style w:type="character" w:customStyle="1" w:styleId="para">
    <w:name w:val="para"/>
    <w:basedOn w:val="Domylnaczcionkaakapitu"/>
    <w:qFormat/>
  </w:style>
  <w:style w:type="character" w:customStyle="1" w:styleId="FooterChar">
    <w:name w:val="Footer Char"/>
    <w:qFormat/>
    <w:rPr>
      <w:rFonts w:ascii="Calibri" w:hAnsi="Calibri" w:cs="Calibri"/>
      <w:lang w:val="pl-PL" w:eastAsia="en-US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FontStyle12">
    <w:name w:val="Font Style12"/>
    <w:qFormat/>
    <w:rPr>
      <w:rFonts w:ascii="Arial" w:hAnsi="Arial" w:cs="Arial"/>
      <w:sz w:val="22"/>
      <w:szCs w:val="22"/>
    </w:rPr>
  </w:style>
  <w:style w:type="character" w:customStyle="1" w:styleId="FontStyle13">
    <w:name w:val="Font Style13"/>
    <w:qFormat/>
    <w:rPr>
      <w:rFonts w:ascii="Arial" w:hAnsi="Arial" w:cs="Arial"/>
      <w:i/>
      <w:iCs/>
      <w:sz w:val="22"/>
      <w:szCs w:val="22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ooltipstertooltipstered">
    <w:name w:val="tooltipster tooltipstered"/>
    <w:qFormat/>
  </w:style>
  <w:style w:type="character" w:customStyle="1" w:styleId="tooltipster">
    <w:name w:val="tooltipster"/>
    <w:qFormat/>
  </w:style>
  <w:style w:type="character" w:customStyle="1" w:styleId="tekstdokbold">
    <w:name w:val="tekst dok. bold"/>
    <w:qFormat/>
    <w:rPr>
      <w:b/>
      <w:bCs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4Znak1">
    <w:name w:val="Nagłówek 4 Znak1"/>
    <w:qFormat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TekstkomentarzaZnak1">
    <w:name w:val="Tekst komentarza Znak1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1">
    <w:name w:val="Tekst dymka Znak1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punkt3Znak">
    <w:name w:val="Wypunkt 3 Znak"/>
    <w:qFormat/>
    <w:rPr>
      <w:rFonts w:ascii="Times New Roman" w:eastAsia="Calibri" w:hAnsi="Times New Roman" w:cs="Calibri"/>
      <w:szCs w:val="24"/>
    </w:rPr>
  </w:style>
  <w:style w:type="character" w:customStyle="1" w:styleId="W2Znak">
    <w:name w:val="W 2 Znak"/>
    <w:qFormat/>
    <w:rPr>
      <w:rFonts w:ascii="Times New Roman" w:eastAsia="Times New Roman" w:hAnsi="Times New Roman" w:cs="Times New Roman"/>
      <w:b/>
      <w:color w:val="00000A"/>
      <w:lang w:eastAsia="pl-PL"/>
    </w:rPr>
  </w:style>
  <w:style w:type="character" w:customStyle="1" w:styleId="Wypunkt2Znak">
    <w:name w:val="Wypunkt 2 Znak"/>
    <w:qFormat/>
    <w:rPr>
      <w:rFonts w:ascii="Times New Roman" w:eastAsia="Calibri" w:hAnsi="Times New Roman" w:cs="Calibri"/>
      <w:szCs w:val="24"/>
    </w:rPr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lang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W11Znak">
    <w:name w:val="W11 Znak"/>
    <w:qFormat/>
    <w:rPr>
      <w:rFonts w:ascii="Times New Roman" w:eastAsia="Calibri" w:hAnsi="Times New Roman" w:cs="Calibri"/>
    </w:rPr>
  </w:style>
  <w:style w:type="character" w:customStyle="1" w:styleId="Wypunkt1Znak">
    <w:name w:val="Wypunkt 1 Znak"/>
    <w:qFormat/>
    <w:rPr>
      <w:rFonts w:ascii="Times New Roman" w:eastAsia="Calibri" w:hAnsi="Times New Roman" w:cs="Calibri"/>
    </w:rPr>
  </w:style>
  <w:style w:type="character" w:customStyle="1" w:styleId="W1Znak">
    <w:name w:val="W 1 Znak"/>
    <w:qFormat/>
    <w:rPr>
      <w:rFonts w:ascii="Times New Roman" w:eastAsia="Times New Roman" w:hAnsi="Times New Roman" w:cs="Times New Roman"/>
      <w:b/>
      <w:lang w:eastAsia="pl-PL"/>
    </w:rPr>
  </w:style>
  <w:style w:type="character" w:customStyle="1" w:styleId="tgc">
    <w:name w:val="_tgc"/>
    <w:qFormat/>
  </w:style>
  <w:style w:type="character" w:customStyle="1" w:styleId="W22Znak">
    <w:name w:val="W22 Znak"/>
    <w:qFormat/>
    <w:rPr>
      <w:rFonts w:ascii="Times New Roman" w:eastAsia="Calibri" w:hAnsi="Times New Roman" w:cs="Calibri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Calibri" w:hAnsi="Times New Roman" w:cs="Calibri"/>
      <w:b/>
      <w:bCs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yp1Znak">
    <w:name w:val="wyp 1 Znak"/>
    <w:qFormat/>
    <w:rPr>
      <w:rFonts w:ascii="Times New Roman" w:eastAsia="Calibri" w:hAnsi="Times New Roman" w:cs="Calibri"/>
      <w:color w:val="1F3864"/>
      <w:szCs w:val="24"/>
    </w:rPr>
  </w:style>
  <w:style w:type="character" w:customStyle="1" w:styleId="Wyp2Znak">
    <w:name w:val="Wyp 2 Znak"/>
    <w:qFormat/>
    <w:rPr>
      <w:rFonts w:ascii="Times New Roman" w:eastAsia="Calibri" w:hAnsi="Times New Roman" w:cs="Calibri"/>
      <w:color w:val="1F3864"/>
      <w:szCs w:val="24"/>
    </w:rPr>
  </w:style>
  <w:style w:type="character" w:customStyle="1" w:styleId="FontStyle59">
    <w:name w:val="Font Style59"/>
    <w:qFormat/>
    <w:rPr>
      <w:rFonts w:ascii="Arial" w:hAnsi="Arial" w:cs="Arial"/>
      <w:sz w:val="14"/>
      <w:szCs w:val="14"/>
    </w:rPr>
  </w:style>
  <w:style w:type="character" w:customStyle="1" w:styleId="FontStyle74">
    <w:name w:val="Font Style74"/>
    <w:qFormat/>
    <w:rPr>
      <w:rFonts w:ascii="Arial" w:hAnsi="Arial" w:cs="Arial"/>
      <w:i/>
      <w:iCs/>
      <w:sz w:val="16"/>
      <w:szCs w:val="16"/>
    </w:rPr>
  </w:style>
  <w:style w:type="character" w:customStyle="1" w:styleId="MapadokumentuZnak">
    <w:name w:val="Mapa dokumentu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70">
    <w:name w:val="Font Style70"/>
    <w:qFormat/>
    <w:rPr>
      <w:rFonts w:ascii="Calibri" w:hAnsi="Calibri" w:cs="Calibri"/>
      <w:b/>
      <w:bCs/>
      <w:sz w:val="30"/>
      <w:szCs w:val="30"/>
    </w:rPr>
  </w:style>
  <w:style w:type="character" w:customStyle="1" w:styleId="FontStyle75">
    <w:name w:val="Font Style75"/>
    <w:qFormat/>
    <w:rPr>
      <w:rFonts w:ascii="Calibri" w:hAnsi="Calibri" w:cs="Calibri"/>
      <w:sz w:val="20"/>
      <w:szCs w:val="20"/>
    </w:rPr>
  </w:style>
  <w:style w:type="character" w:customStyle="1" w:styleId="FontStyle82">
    <w:name w:val="Font Style82"/>
    <w:qFormat/>
    <w:rPr>
      <w:rFonts w:ascii="Calibri" w:hAnsi="Calibri" w:cs="Calibri"/>
      <w:b/>
      <w:bCs/>
      <w:sz w:val="20"/>
      <w:szCs w:val="20"/>
    </w:rPr>
  </w:style>
  <w:style w:type="character" w:customStyle="1" w:styleId="FontStyle79">
    <w:name w:val="Font Style79"/>
    <w:qFormat/>
    <w:rPr>
      <w:rFonts w:ascii="Calibri" w:hAnsi="Calibri" w:cs="Calibri"/>
      <w:b/>
      <w:bCs/>
      <w:sz w:val="18"/>
      <w:szCs w:val="18"/>
    </w:rPr>
  </w:style>
  <w:style w:type="character" w:customStyle="1" w:styleId="ZwykytekstZnak">
    <w:name w:val="Zwykły tekst Znak"/>
    <w:basedOn w:val="Domylnaczcionkaakapitu"/>
    <w:qFormat/>
    <w:rPr>
      <w:rFonts w:ascii="Calibri" w:eastAsia="Calibri" w:hAnsi="Calibri" w:cs="Times New Roman"/>
      <w:szCs w:val="21"/>
      <w:lang w:val="pl-PL"/>
    </w:rPr>
  </w:style>
  <w:style w:type="character" w:customStyle="1" w:styleId="N4Znak">
    <w:name w:val="N4 Znak"/>
    <w:qFormat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color w:val="00000A"/>
    </w:rPr>
  </w:style>
  <w:style w:type="character" w:customStyle="1" w:styleId="WW8Num2z0">
    <w:name w:val="WW8Num2z0"/>
    <w:qFormat/>
    <w:rPr>
      <w:rFonts w:ascii="Loma" w:hAnsi="Loma" w:cs="Loma"/>
      <w:b w:val="0"/>
      <w:bCs w:val="0"/>
      <w:sz w:val="16"/>
      <w:szCs w:val="16"/>
    </w:rPr>
  </w:style>
  <w:style w:type="character" w:customStyle="1" w:styleId="WW8Num2z1">
    <w:name w:val="WW8Num2z1"/>
    <w:qFormat/>
    <w:rPr>
      <w:rFonts w:ascii="Arial" w:hAnsi="Arial"/>
      <w:b w:val="0"/>
      <w:sz w:val="16"/>
      <w:szCs w:val="16"/>
    </w:rPr>
  </w:style>
  <w:style w:type="character" w:customStyle="1" w:styleId="WW8Num2z2">
    <w:name w:val="WW8Num2z2"/>
    <w:qFormat/>
    <w:rPr>
      <w:b w:val="0"/>
      <w:bCs w:val="0"/>
      <w:sz w:val="16"/>
      <w:szCs w:val="16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0"/>
      <w:szCs w:val="2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7">
    <w:name w:val="WW8Num6z7"/>
    <w:qFormat/>
    <w:rPr>
      <w:rFonts w:ascii="Courier New" w:hAnsi="Courier New" w:cs="Courier New"/>
      <w:b/>
      <w:sz w:val="18"/>
      <w:szCs w:val="18"/>
    </w:rPr>
  </w:style>
  <w:style w:type="character" w:customStyle="1" w:styleId="WW8Num6z8">
    <w:name w:val="WW8Num6z8"/>
    <w:qFormat/>
    <w:rPr>
      <w:rFonts w:ascii="Wingdings" w:hAnsi="Wingdings" w:cs="Wingdings"/>
      <w:b/>
      <w:sz w:val="18"/>
      <w:szCs w:val="18"/>
    </w:rPr>
  </w:style>
  <w:style w:type="character" w:customStyle="1" w:styleId="WW8Num1z2">
    <w:name w:val="WW8Num1z2"/>
    <w:qFormat/>
    <w:rPr>
      <w:b w:val="0"/>
      <w:bCs w:val="0"/>
      <w:sz w:val="16"/>
      <w:szCs w:val="16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1">
    <w:name w:val="Domyślna czcionka akapitu1"/>
    <w:qFormat/>
  </w:style>
  <w:style w:type="character" w:customStyle="1" w:styleId="BezodstpwZnak">
    <w:name w:val="Bez odstępów Znak"/>
    <w:qFormat/>
    <w:rPr>
      <w:rFonts w:ascii="Calibri" w:eastAsia="Times New Roman" w:hAnsi="Calibri" w:cs="Times New Roman"/>
      <w:lang w:val="en-US" w:bidi="en-US"/>
    </w:rPr>
  </w:style>
  <w:style w:type="character" w:customStyle="1" w:styleId="Teksttreci2">
    <w:name w:val="Tekst treści (2)_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0">
    <w:name w:val="Tekst treści (2)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262626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Teksttreci9">
    <w:name w:val="Tekst treści (9)_"/>
    <w:qFormat/>
    <w:rPr>
      <w:rFonts w:cs="Calibri"/>
      <w:shd w:val="clear" w:color="auto" w:fill="FFFFFF"/>
    </w:rPr>
  </w:style>
  <w:style w:type="character" w:customStyle="1" w:styleId="PogrubienieTeksttreci212ptKursywa">
    <w:name w:val="Pogrubienie;Tekst treści (2) + 12 pt;Kursywa"/>
    <w:qFormat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262626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Teksttreci285pt">
    <w:name w:val="Tekst treści (2) + 8;5 p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262626"/>
      <w:spacing w:val="0"/>
      <w:w w:val="100"/>
      <w:sz w:val="17"/>
      <w:szCs w:val="17"/>
      <w:u w:val="none"/>
      <w:lang w:val="pl-PL" w:eastAsia="pl-PL" w:bidi="pl-PL"/>
    </w:rPr>
  </w:style>
  <w:style w:type="character" w:customStyle="1" w:styleId="Teksttreci285ptKursywa">
    <w:name w:val="Tekst treści (2) + 8;5 pt;Kursywa"/>
    <w:qFormat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262626"/>
      <w:spacing w:val="0"/>
      <w:w w:val="100"/>
      <w:sz w:val="17"/>
      <w:szCs w:val="17"/>
      <w:u w:val="none"/>
      <w:lang w:val="pl-PL" w:eastAsia="pl-PL" w:bidi="pl-P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pPr>
      <w:spacing w:after="120"/>
    </w:pPr>
    <w:rPr>
      <w:b/>
      <w:sz w:val="28"/>
      <w:szCs w:val="20"/>
    </w:rPr>
  </w:style>
  <w:style w:type="paragraph" w:styleId="Lista">
    <w:name w:val="List"/>
    <w:basedOn w:val="Tekstpodstawowy"/>
    <w:pPr>
      <w:spacing w:before="60"/>
      <w:ind w:left="113" w:right="113"/>
    </w:pPr>
    <w:rPr>
      <w:rFonts w:ascii="Arial Narrow" w:hAnsi="Arial Narrow" w:cs="FreeSans"/>
      <w:b w:val="0"/>
      <w:sz w:val="22"/>
      <w:szCs w:val="24"/>
      <w:lang w:eastAsia="zh-C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  <w:spacing w:before="60" w:after="60"/>
      <w:ind w:left="113" w:right="113"/>
    </w:pPr>
    <w:rPr>
      <w:rFonts w:ascii="Arial Narrow" w:hAnsi="Arial Narrow" w:cs="FreeSans"/>
      <w:lang w:eastAsia="zh-CN"/>
    </w:r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jc w:val="both"/>
    </w:pPr>
    <w:rPr>
      <w:szCs w:val="20"/>
    </w:rPr>
  </w:style>
  <w:style w:type="paragraph" w:styleId="Tekstpodstawowy2">
    <w:name w:val="Body Text 2"/>
    <w:basedOn w:val="Normalny"/>
    <w:qFormat/>
    <w:pPr>
      <w:jc w:val="both"/>
    </w:pPr>
    <w:rPr>
      <w:b/>
      <w:i/>
      <w:szCs w:val="20"/>
    </w:rPr>
  </w:style>
  <w:style w:type="paragraph" w:styleId="Tekstpodstawowy3">
    <w:name w:val="Body Text 3"/>
    <w:basedOn w:val="Normalny"/>
    <w:qFormat/>
    <w:rPr>
      <w:szCs w:val="20"/>
    </w:rPr>
  </w:style>
  <w:style w:type="paragraph" w:styleId="Tekstpodstawowywcity2">
    <w:name w:val="Body Text Indent 2"/>
    <w:basedOn w:val="Normalny"/>
    <w:qFormat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paragraph" w:customStyle="1" w:styleId="xl26">
    <w:name w:val="xl26"/>
    <w:basedOn w:val="Normalny"/>
    <w:qFormat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customStyle="1" w:styleId="xl24">
    <w:name w:val="xl24"/>
    <w:basedOn w:val="Normalny"/>
    <w:qFormat/>
    <w:pPr>
      <w:spacing w:before="100" w:after="100"/>
    </w:pPr>
    <w:rPr>
      <w:rFonts w:ascii="Arial" w:eastAsia="Arial Unicode MS" w:hAnsi="Arial"/>
      <w:b/>
      <w:szCs w:val="20"/>
    </w:rPr>
  </w:style>
  <w:style w:type="paragraph" w:customStyle="1" w:styleId="Standardowywlewo">
    <w:name w:val="Standardowy w lewo"/>
    <w:basedOn w:val="Normalny"/>
    <w:qFormat/>
    <w:pPr>
      <w:jc w:val="both"/>
    </w:pPr>
    <w:rPr>
      <w:sz w:val="20"/>
      <w:szCs w:val="20"/>
    </w:rPr>
  </w:style>
  <w:style w:type="paragraph" w:customStyle="1" w:styleId="Wypunkt3">
    <w:name w:val="Wypunkt 3"/>
    <w:basedOn w:val="Normalny"/>
    <w:qFormat/>
    <w:pPr>
      <w:spacing w:after="60"/>
    </w:pPr>
    <w:rPr>
      <w:rFonts w:eastAsia="Calibri" w:cs="Calibri"/>
      <w:lang w:eastAsia="en-US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pPr>
      <w:ind w:left="1080" w:hanging="360"/>
    </w:pPr>
    <w:rPr>
      <w:szCs w:val="20"/>
      <w:lang w:eastAsia="ar-SA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sz w:val="20"/>
      <w:szCs w:val="20"/>
      <w:lang w:eastAsia="ar-SA"/>
    </w:rPr>
  </w:style>
  <w:style w:type="paragraph" w:customStyle="1" w:styleId="Zawartotabeli">
    <w:name w:val="Zawarto?? tabeli"/>
    <w:basedOn w:val="Normalny"/>
    <w:qFormat/>
    <w:pPr>
      <w:suppressLineNumbers/>
    </w:pPr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soby1">
    <w:name w:val="zasoby1"/>
    <w:basedOn w:val="Normalny"/>
    <w:qFormat/>
    <w:pPr>
      <w:jc w:val="both"/>
    </w:pPr>
    <w:rPr>
      <w:rFonts w:ascii="Arial" w:hAnsi="Arial" w:cs="Arial"/>
      <w:b/>
      <w:bCs/>
      <w:color w:val="CC0000"/>
      <w:sz w:val="13"/>
      <w:szCs w:val="13"/>
    </w:rPr>
  </w:style>
  <w:style w:type="paragraph" w:styleId="Tytu">
    <w:name w:val="Title"/>
    <w:basedOn w:val="Normalny"/>
    <w:qFormat/>
    <w:pPr>
      <w:spacing w:after="200" w:line="276" w:lineRule="auto"/>
      <w:jc w:val="center"/>
    </w:pPr>
    <w:rPr>
      <w:rFonts w:ascii="Calibri" w:eastAsia="Calibri" w:hAnsi="Calibri"/>
      <w:b/>
      <w:bCs/>
      <w:sz w:val="28"/>
      <w:szCs w:val="22"/>
      <w:u w:val="single"/>
      <w:lang w:eastAsia="en-US"/>
    </w:rPr>
  </w:style>
  <w:style w:type="paragraph" w:styleId="Bezodstpw">
    <w:name w:val="No Spacing"/>
    <w:qFormat/>
    <w:pPr>
      <w:spacing w:line="100" w:lineRule="atLeast"/>
    </w:pPr>
    <w:rPr>
      <w:rFonts w:eastAsia="Times New Roman" w:cs="Times New Roman"/>
      <w:color w:val="00000A"/>
      <w:szCs w:val="22"/>
      <w:lang w:val="en-US" w:eastAsia="en-US" w:bidi="en-US"/>
    </w:rPr>
  </w:style>
  <w:style w:type="paragraph" w:customStyle="1" w:styleId="Default">
    <w:name w:val="Default"/>
    <w:qFormat/>
    <w:pPr>
      <w:widowControl w:val="0"/>
      <w:spacing w:line="100" w:lineRule="atLeast"/>
    </w:pPr>
    <w:rPr>
      <w:rFonts w:ascii="Avant Garde" w:eastAsia="Calibri" w:hAnsi="Avant Garde" w:cs="Times New Roman"/>
      <w:color w:val="000000"/>
      <w:sz w:val="24"/>
      <w:lang w:eastAsia="pl-PL" w:bidi="ar-SA"/>
    </w:rPr>
  </w:style>
  <w:style w:type="paragraph" w:customStyle="1" w:styleId="Pa23">
    <w:name w:val="Pa23"/>
    <w:basedOn w:val="Normalny"/>
    <w:qFormat/>
    <w:pPr>
      <w:spacing w:line="201" w:lineRule="atLeast"/>
    </w:pPr>
  </w:style>
  <w:style w:type="paragraph" w:customStyle="1" w:styleId="ZnakZnak">
    <w:name w:val="Znak Znak"/>
    <w:basedOn w:val="Normalny"/>
    <w:qFormat/>
    <w:pPr>
      <w:spacing w:line="360" w:lineRule="atLeast"/>
      <w:jc w:val="both"/>
    </w:pPr>
    <w:rPr>
      <w:szCs w:val="20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Cs w:val="20"/>
      <w:lang w:val="en-GB"/>
    </w:rPr>
  </w:style>
  <w:style w:type="paragraph" w:customStyle="1" w:styleId="Tabelapozycja">
    <w:name w:val="Tabela pozycja"/>
    <w:basedOn w:val="Normalny"/>
    <w:qFormat/>
    <w:rPr>
      <w:rFonts w:ascii="Arial" w:eastAsia="Calibri" w:hAnsi="Arial" w:cs="Arial"/>
      <w:szCs w:val="22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msgheadopen">
    <w:name w:val="msg_head open"/>
    <w:basedOn w:val="Normalny"/>
    <w:qFormat/>
    <w:pPr>
      <w:spacing w:before="280" w:after="280"/>
    </w:p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3">
    <w:name w:val="Style3"/>
    <w:basedOn w:val="Normalny"/>
    <w:qFormat/>
    <w:pPr>
      <w:spacing w:line="273" w:lineRule="exact"/>
    </w:pPr>
    <w:rPr>
      <w:rFonts w:ascii="Arial" w:hAnsi="Arial" w:cs="Arial"/>
    </w:rPr>
  </w:style>
  <w:style w:type="paragraph" w:customStyle="1" w:styleId="Style4">
    <w:name w:val="Style4"/>
    <w:basedOn w:val="Normalny"/>
    <w:qFormat/>
    <w:pPr>
      <w:spacing w:line="268" w:lineRule="exact"/>
    </w:pPr>
    <w:rPr>
      <w:rFonts w:ascii="Arial" w:hAnsi="Arial" w:cs="Arial"/>
    </w:rPr>
  </w:style>
  <w:style w:type="paragraph" w:customStyle="1" w:styleId="Style6">
    <w:name w:val="Style6"/>
    <w:basedOn w:val="Normalny"/>
    <w:qFormat/>
    <w:rPr>
      <w:rFonts w:ascii="Arial" w:hAnsi="Arial" w:cs="Arial"/>
    </w:rPr>
  </w:style>
  <w:style w:type="paragraph" w:customStyle="1" w:styleId="Style7">
    <w:name w:val="Style7"/>
    <w:basedOn w:val="Normalny"/>
    <w:qFormat/>
    <w:rPr>
      <w:rFonts w:ascii="Arial" w:hAnsi="Arial" w:cs="Arial"/>
    </w:rPr>
  </w:style>
  <w:style w:type="paragraph" w:customStyle="1" w:styleId="Style8">
    <w:name w:val="Style8"/>
    <w:basedOn w:val="Normalny"/>
    <w:qFormat/>
    <w:pPr>
      <w:spacing w:line="322" w:lineRule="exact"/>
      <w:ind w:hanging="350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qFormat/>
    <w:rPr>
      <w:rFonts w:ascii="Arial" w:hAnsi="Arial" w:cs="Arial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Akapitzlist12">
    <w:name w:val="Akapit z listą12"/>
    <w:basedOn w:val="Normalny"/>
    <w:qFormat/>
    <w:pPr>
      <w:spacing w:after="80" w:line="276" w:lineRule="auto"/>
      <w:ind w:left="720"/>
      <w:jc w:val="both"/>
    </w:pPr>
    <w:rPr>
      <w:szCs w:val="22"/>
      <w:lang w:eastAsia="en-US"/>
    </w:rPr>
  </w:style>
  <w:style w:type="paragraph" w:customStyle="1" w:styleId="Bezodstpw1">
    <w:name w:val="Bez odstępów1"/>
    <w:qFormat/>
    <w:pPr>
      <w:spacing w:line="100" w:lineRule="atLeast"/>
    </w:pPr>
    <w:rPr>
      <w:rFonts w:eastAsia="Times New Roman" w:cs="Times New Roman"/>
      <w:color w:val="00000A"/>
      <w:szCs w:val="22"/>
      <w:lang w:val="en-US" w:eastAsia="en-US" w:bidi="ar-SA"/>
    </w:rPr>
  </w:style>
  <w:style w:type="paragraph" w:customStyle="1" w:styleId="Znak">
    <w:name w:val="Znak"/>
    <w:basedOn w:val="Normalny"/>
    <w:qFormat/>
    <w:rPr>
      <w:rFonts w:ascii="Calibri" w:hAnsi="Calibri" w:cs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blokowy">
    <w:name w:val="Block Text"/>
    <w:basedOn w:val="Normalny"/>
    <w:qFormat/>
    <w:pPr>
      <w:ind w:left="540" w:right="-6"/>
    </w:pPr>
  </w:style>
  <w:style w:type="paragraph" w:customStyle="1" w:styleId="ZnakZnak13">
    <w:name w:val="Znak Znak13"/>
    <w:basedOn w:val="Normalny"/>
    <w:qFormat/>
    <w:pPr>
      <w:spacing w:line="360" w:lineRule="atLeast"/>
      <w:jc w:val="both"/>
    </w:pPr>
    <w:rPr>
      <w:szCs w:val="20"/>
    </w:rPr>
  </w:style>
  <w:style w:type="paragraph" w:customStyle="1" w:styleId="ZnakZnak2">
    <w:name w:val="Znak Znak2"/>
    <w:basedOn w:val="Normalny"/>
    <w:qFormat/>
    <w:pPr>
      <w:spacing w:line="360" w:lineRule="atLeast"/>
      <w:jc w:val="both"/>
    </w:pPr>
    <w:rPr>
      <w:szCs w:val="20"/>
    </w:rPr>
  </w:style>
  <w:style w:type="paragraph" w:customStyle="1" w:styleId="Bezodstpw11">
    <w:name w:val="Bez odstępów11"/>
    <w:qFormat/>
    <w:pPr>
      <w:spacing w:line="100" w:lineRule="atLeast"/>
    </w:pPr>
    <w:rPr>
      <w:rFonts w:eastAsia="Times New Roman" w:cs="Times New Roman"/>
      <w:color w:val="00000A"/>
      <w:szCs w:val="22"/>
      <w:lang w:val="en-US" w:eastAsia="en-US" w:bidi="ar-SA"/>
    </w:rPr>
  </w:style>
  <w:style w:type="paragraph" w:customStyle="1" w:styleId="W2">
    <w:name w:val="W 2"/>
    <w:basedOn w:val="Normalny"/>
    <w:qFormat/>
    <w:pPr>
      <w:spacing w:after="60"/>
      <w:jc w:val="both"/>
    </w:pPr>
    <w:rPr>
      <w:b/>
      <w:szCs w:val="22"/>
    </w:rPr>
  </w:style>
  <w:style w:type="paragraph" w:customStyle="1" w:styleId="Wypunkt2">
    <w:name w:val="Wypunkt 2"/>
    <w:qFormat/>
    <w:pPr>
      <w:spacing w:before="60" w:after="60" w:line="100" w:lineRule="atLeast"/>
      <w:ind w:left="1077" w:hanging="651"/>
    </w:pPr>
    <w:rPr>
      <w:rFonts w:ascii="Times New Roman" w:eastAsia="Calibri" w:hAnsi="Times New Roman" w:cs="Calibri"/>
      <w:color w:val="00000A"/>
      <w:lang w:eastAsia="en-US" w:bidi="ar-SA"/>
    </w:rPr>
  </w:style>
  <w:style w:type="paragraph" w:customStyle="1" w:styleId="NormalBold">
    <w:name w:val="NormalBold"/>
    <w:basedOn w:val="Normalny"/>
    <w:qFormat/>
    <w:rPr>
      <w:b/>
      <w:szCs w:val="22"/>
      <w:lang w:eastAsia="en-GB"/>
    </w:rPr>
  </w:style>
  <w:style w:type="paragraph" w:customStyle="1" w:styleId="Text1">
    <w:name w:val="Text 1"/>
    <w:basedOn w:val="Normalny"/>
    <w:qFormat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W11">
    <w:name w:val="W11"/>
    <w:basedOn w:val="Normalny"/>
    <w:qFormat/>
    <w:pPr>
      <w:spacing w:before="60"/>
    </w:pPr>
    <w:rPr>
      <w:rFonts w:eastAsia="Calibri" w:cs="Calibri"/>
      <w:szCs w:val="22"/>
      <w:lang w:eastAsia="en-US"/>
    </w:rPr>
  </w:style>
  <w:style w:type="paragraph" w:customStyle="1" w:styleId="Kolorowalistaakcent11">
    <w:name w:val="Kolorowa lista — akcent 11"/>
    <w:basedOn w:val="Normalny"/>
    <w:qFormat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tekstwstpny">
    <w:name w:val="tekst wstępny"/>
    <w:basedOn w:val="Normalny"/>
    <w:qFormat/>
    <w:pPr>
      <w:spacing w:before="60" w:after="60"/>
    </w:pPr>
    <w:rPr>
      <w:sz w:val="20"/>
      <w:szCs w:val="20"/>
    </w:rPr>
  </w:style>
  <w:style w:type="paragraph" w:customStyle="1" w:styleId="Wypunkt1">
    <w:name w:val="Wypunkt 1"/>
    <w:basedOn w:val="Normalny"/>
    <w:qFormat/>
    <w:pPr>
      <w:spacing w:before="60" w:after="60"/>
    </w:pPr>
    <w:rPr>
      <w:rFonts w:eastAsia="Calibri" w:cs="Calibri"/>
      <w:szCs w:val="22"/>
      <w:lang w:eastAsia="en-US"/>
    </w:rPr>
  </w:style>
  <w:style w:type="paragraph" w:customStyle="1" w:styleId="W1">
    <w:name w:val="W 1"/>
    <w:basedOn w:val="Wypunkt1"/>
    <w:qFormat/>
    <w:pPr>
      <w:spacing w:before="0"/>
    </w:pPr>
    <w:rPr>
      <w:rFonts w:eastAsia="Times New Roman" w:cs="Times New Roman"/>
      <w:b/>
      <w:lang w:eastAsia="pl-PL"/>
    </w:rPr>
  </w:style>
  <w:style w:type="paragraph" w:customStyle="1" w:styleId="W22">
    <w:name w:val="W22"/>
    <w:basedOn w:val="Wypunkt2"/>
    <w:qFormat/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qFormat/>
    <w:pPr>
      <w:keepLines/>
      <w:spacing w:before="240" w:after="160" w:line="252" w:lineRule="auto"/>
      <w:ind w:left="426" w:hanging="426"/>
    </w:pPr>
    <w:rPr>
      <w:color w:val="2E74B5"/>
      <w:szCs w:val="22"/>
    </w:rPr>
  </w:style>
  <w:style w:type="paragraph" w:styleId="Tematkomentarza">
    <w:name w:val="annotation subject"/>
    <w:basedOn w:val="Tekstkomentarza"/>
    <w:qFormat/>
    <w:pPr>
      <w:spacing w:before="120"/>
    </w:pPr>
    <w:rPr>
      <w:rFonts w:eastAsia="Calibri" w:cs="Calibri"/>
      <w:b/>
      <w:bCs/>
      <w:lang w:eastAsia="en-US"/>
    </w:rPr>
  </w:style>
  <w:style w:type="paragraph" w:customStyle="1" w:styleId="xmsolistparagraph">
    <w:name w:val="x_msolistparagraph"/>
    <w:basedOn w:val="Normalny"/>
    <w:qFormat/>
    <w:pPr>
      <w:spacing w:before="280" w:after="280"/>
    </w:pPr>
  </w:style>
  <w:style w:type="paragraph" w:styleId="Poprawka">
    <w:name w:val="Revision"/>
    <w:qFormat/>
    <w:pPr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customStyle="1" w:styleId="xmsonormal">
    <w:name w:val="x_msonormal"/>
    <w:basedOn w:val="Normalny"/>
    <w:qFormat/>
    <w:pPr>
      <w:spacing w:before="280" w:after="280"/>
    </w:pPr>
  </w:style>
  <w:style w:type="paragraph" w:customStyle="1" w:styleId="Zawartotabeli0">
    <w:name w:val="Zawartość tabeli"/>
    <w:basedOn w:val="Normalny"/>
    <w:qFormat/>
    <w:pPr>
      <w:suppressLineNumbers/>
      <w:spacing w:before="120"/>
    </w:pPr>
    <w:rPr>
      <w:lang w:eastAsia="en-US"/>
    </w:rPr>
  </w:style>
  <w:style w:type="paragraph" w:customStyle="1" w:styleId="Nagwektabeli">
    <w:name w:val="Nagłówek tabeli"/>
    <w:basedOn w:val="Zawartotabeli0"/>
    <w:qFormat/>
    <w:pPr>
      <w:spacing w:before="60" w:after="60"/>
      <w:ind w:left="113" w:right="113"/>
      <w:jc w:val="center"/>
    </w:pPr>
    <w:rPr>
      <w:rFonts w:ascii="Arial Narrow" w:eastAsia="Times New Roman" w:hAnsi="Arial Narrow" w:cs="Arial Narrow"/>
      <w:b/>
      <w:bCs/>
      <w:i/>
      <w:iCs/>
      <w:lang w:eastAsia="zh-CN"/>
    </w:rPr>
  </w:style>
  <w:style w:type="paragraph" w:customStyle="1" w:styleId="EmptyLayoutCell">
    <w:name w:val="EmptyLayoutCell"/>
    <w:basedOn w:val="Normalny"/>
    <w:qFormat/>
    <w:pPr>
      <w:spacing w:before="120"/>
    </w:pPr>
    <w:rPr>
      <w:sz w:val="2"/>
      <w:szCs w:val="20"/>
      <w:lang w:val="en-US" w:eastAsia="en-US"/>
    </w:rPr>
  </w:style>
  <w:style w:type="paragraph" w:customStyle="1" w:styleId="Wypunktowanie2">
    <w:name w:val="Wypunktowanie 2"/>
    <w:basedOn w:val="Normalny"/>
    <w:qFormat/>
    <w:pPr>
      <w:tabs>
        <w:tab w:val="left" w:pos="9823"/>
      </w:tabs>
      <w:spacing w:before="120"/>
      <w:ind w:left="1486" w:firstLine="96"/>
      <w:jc w:val="both"/>
    </w:pPr>
    <w:rPr>
      <w:lang w:eastAsia="ar-SA"/>
    </w:rPr>
  </w:style>
  <w:style w:type="paragraph" w:customStyle="1" w:styleId="StylStandardowaTrescAkapituPierwszywiersz15ch">
    <w:name w:val="Styl Standardowa_Tresc_Akapitu + Pierwszy wiersz:  15 ch"/>
    <w:basedOn w:val="Normalny"/>
    <w:qFormat/>
    <w:pPr>
      <w:spacing w:before="120" w:line="360" w:lineRule="auto"/>
      <w:ind w:firstLine="567"/>
      <w:jc w:val="both"/>
    </w:pPr>
    <w:rPr>
      <w:lang w:eastAsia="ar-SA"/>
    </w:rPr>
  </w:style>
  <w:style w:type="paragraph" w:customStyle="1" w:styleId="WW-Domylnie">
    <w:name w:val="WW-Domyślnie"/>
    <w:qFormat/>
    <w:pPr>
      <w:spacing w:line="100" w:lineRule="atLeast"/>
    </w:pPr>
    <w:rPr>
      <w:rFonts w:ascii="Times New Roman" w:eastAsia="Times New Roman" w:hAnsi="Times New Roman" w:cs="Courier New"/>
      <w:color w:val="00000A"/>
      <w:sz w:val="24"/>
      <w:szCs w:val="20"/>
      <w:lang w:eastAsia="ar-SA" w:bidi="ar-SA"/>
    </w:rPr>
  </w:style>
  <w:style w:type="paragraph" w:customStyle="1" w:styleId="Tekstkomentarza1">
    <w:name w:val="Tekst komentarza1"/>
    <w:basedOn w:val="Normalny"/>
    <w:qFormat/>
    <w:pPr>
      <w:spacing w:before="120" w:after="200" w:line="276" w:lineRule="auto"/>
    </w:pPr>
    <w:rPr>
      <w:rFonts w:ascii="Arial" w:hAnsi="Arial" w:cs="Arial"/>
      <w:sz w:val="20"/>
      <w:szCs w:val="22"/>
      <w:lang w:eastAsia="ar-SA"/>
    </w:rPr>
  </w:style>
  <w:style w:type="paragraph" w:customStyle="1" w:styleId="wyp1">
    <w:name w:val="wyp 1"/>
    <w:basedOn w:val="Akapitzlist"/>
    <w:qFormat/>
    <w:pPr>
      <w:spacing w:after="60"/>
      <w:ind w:firstLine="426"/>
    </w:pPr>
    <w:rPr>
      <w:rFonts w:eastAsia="Calibri" w:cs="Calibri"/>
      <w:color w:val="1F3864"/>
      <w:lang w:eastAsia="en-US"/>
    </w:rPr>
  </w:style>
  <w:style w:type="paragraph" w:customStyle="1" w:styleId="Wyp2">
    <w:name w:val="Wyp 2"/>
    <w:basedOn w:val="wyp1"/>
    <w:qFormat/>
    <w:pPr>
      <w:ind w:firstLine="0"/>
    </w:pPr>
  </w:style>
  <w:style w:type="paragraph" w:customStyle="1" w:styleId="FR2">
    <w:name w:val="FR2"/>
    <w:qFormat/>
    <w:pPr>
      <w:widowControl w:val="0"/>
      <w:spacing w:line="600" w:lineRule="auto"/>
      <w:ind w:left="640" w:right="6400"/>
    </w:pPr>
    <w:rPr>
      <w:rFonts w:ascii="Times New Roman" w:eastAsia="Times New Roman" w:hAnsi="Times New Roman" w:cs="Times New Roman"/>
      <w:b/>
      <w:color w:val="00000A"/>
      <w:sz w:val="16"/>
      <w:szCs w:val="20"/>
      <w:lang w:eastAsia="pl-PL" w:bidi="ar-SA"/>
    </w:rPr>
  </w:style>
  <w:style w:type="paragraph" w:customStyle="1" w:styleId="TytuRozdziau">
    <w:name w:val="TytułRozdziału"/>
    <w:basedOn w:val="Normalny"/>
    <w:qFormat/>
    <w:pPr>
      <w:spacing w:before="240" w:after="240" w:line="360" w:lineRule="auto"/>
      <w:jc w:val="both"/>
    </w:pPr>
    <w:rPr>
      <w:b/>
      <w:sz w:val="32"/>
      <w:szCs w:val="32"/>
    </w:rPr>
  </w:style>
  <w:style w:type="paragraph" w:customStyle="1" w:styleId="PodrozdziaXX">
    <w:name w:val="Podrozdział X.X."/>
    <w:basedOn w:val="TytuRozdziau"/>
    <w:qFormat/>
    <w:rPr>
      <w:bCs/>
    </w:rPr>
  </w:style>
  <w:style w:type="paragraph" w:customStyle="1" w:styleId="Style31">
    <w:name w:val="Style31"/>
    <w:basedOn w:val="Normalny"/>
    <w:qFormat/>
    <w:pPr>
      <w:spacing w:line="182" w:lineRule="exact"/>
    </w:pPr>
  </w:style>
  <w:style w:type="paragraph" w:customStyle="1" w:styleId="Style25">
    <w:name w:val="Style25"/>
    <w:basedOn w:val="Normalny"/>
    <w:qFormat/>
  </w:style>
  <w:style w:type="paragraph" w:customStyle="1" w:styleId="wypunkt10">
    <w:name w:val="wypunkt. 1"/>
    <w:basedOn w:val="Normalny"/>
    <w:qFormat/>
    <w:pPr>
      <w:spacing w:after="60"/>
    </w:pPr>
    <w:rPr>
      <w:szCs w:val="22"/>
    </w:rPr>
  </w:style>
  <w:style w:type="paragraph" w:customStyle="1" w:styleId="TableParagraph">
    <w:name w:val="Table Paragraph"/>
    <w:basedOn w:val="Normalny"/>
    <w:qFormat/>
    <w:pPr>
      <w:ind w:left="67"/>
    </w:pPr>
    <w:rPr>
      <w:rFonts w:ascii="Calibri" w:eastAsia="Calibri" w:hAnsi="Calibri" w:cs="Calibri"/>
      <w:szCs w:val="22"/>
      <w:lang w:val="en-US" w:eastAsia="en-US"/>
    </w:rPr>
  </w:style>
  <w:style w:type="paragraph" w:customStyle="1" w:styleId="nagwek30">
    <w:name w:val="nagłówek 3"/>
    <w:basedOn w:val="Normalny"/>
    <w:qFormat/>
    <w:pPr>
      <w:spacing w:before="240" w:after="120"/>
    </w:pPr>
    <w:rPr>
      <w:b/>
      <w:bCs/>
      <w:sz w:val="26"/>
      <w:szCs w:val="26"/>
      <w:lang w:eastAsia="zh-CN"/>
    </w:rPr>
  </w:style>
  <w:style w:type="paragraph" w:customStyle="1" w:styleId="Akapitzlist11">
    <w:name w:val="Akapit z listą11"/>
    <w:basedOn w:val="Normalny"/>
    <w:qFormat/>
    <w:pPr>
      <w:ind w:left="720"/>
    </w:pPr>
    <w:rPr>
      <w:rFonts w:eastAsia="Calibri"/>
    </w:rPr>
  </w:style>
  <w:style w:type="paragraph" w:customStyle="1" w:styleId="wypunkt">
    <w:name w:val="wypunkt"/>
    <w:basedOn w:val="Normalny"/>
    <w:qFormat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Mapadokumentu">
    <w:name w:val="Document Map"/>
    <w:basedOn w:val="Normalny"/>
    <w:qFormat/>
    <w:rPr>
      <w:rFonts w:ascii="Tahoma" w:hAnsi="Tahoma"/>
      <w:sz w:val="16"/>
      <w:szCs w:val="16"/>
    </w:rPr>
  </w:style>
  <w:style w:type="paragraph" w:customStyle="1" w:styleId="Style40">
    <w:name w:val="Style40"/>
    <w:basedOn w:val="Normalny"/>
    <w:qFormat/>
    <w:pPr>
      <w:spacing w:line="322" w:lineRule="exact"/>
      <w:jc w:val="both"/>
    </w:pPr>
    <w:rPr>
      <w:rFonts w:ascii="Calibri" w:hAnsi="Calibri"/>
    </w:rPr>
  </w:style>
  <w:style w:type="paragraph" w:customStyle="1" w:styleId="N1">
    <w:name w:val="N1"/>
    <w:basedOn w:val="Normalny"/>
    <w:qFormat/>
    <w:pPr>
      <w:spacing w:before="360" w:after="120"/>
    </w:pPr>
    <w:rPr>
      <w:b/>
      <w:color w:val="4472C4"/>
      <w:szCs w:val="22"/>
    </w:rPr>
  </w:style>
  <w:style w:type="paragraph" w:customStyle="1" w:styleId="N2">
    <w:name w:val="N2"/>
    <w:basedOn w:val="Normalny"/>
    <w:qFormat/>
    <w:pPr>
      <w:spacing w:before="240" w:after="60"/>
    </w:pPr>
    <w:rPr>
      <w:b/>
      <w:color w:val="4472C4"/>
      <w:szCs w:val="22"/>
    </w:rPr>
  </w:style>
  <w:style w:type="paragraph" w:customStyle="1" w:styleId="W33">
    <w:name w:val="W33"/>
    <w:basedOn w:val="Normalny"/>
    <w:qFormat/>
  </w:style>
  <w:style w:type="paragraph" w:customStyle="1" w:styleId="N3">
    <w:name w:val="N3"/>
    <w:basedOn w:val="Nagwek3"/>
    <w:qFormat/>
    <w:pPr>
      <w:spacing w:before="120"/>
    </w:pPr>
    <w:rPr>
      <w:szCs w:val="22"/>
    </w:rPr>
  </w:style>
  <w:style w:type="paragraph" w:customStyle="1" w:styleId="N4">
    <w:name w:val="N4"/>
    <w:basedOn w:val="Normalny"/>
    <w:qFormat/>
    <w:rPr>
      <w:b/>
    </w:rPr>
  </w:style>
  <w:style w:type="paragraph" w:styleId="Zwykytekst">
    <w:name w:val="Plain Text"/>
    <w:basedOn w:val="Normalny"/>
    <w:qFormat/>
    <w:rPr>
      <w:rFonts w:ascii="Calibri" w:eastAsia="Calibri" w:hAnsi="Calibri"/>
      <w:szCs w:val="21"/>
      <w:lang w:eastAsia="en-US"/>
    </w:rPr>
  </w:style>
  <w:style w:type="paragraph" w:customStyle="1" w:styleId="Nagwek10">
    <w:name w:val="Nagłówek1"/>
    <w:basedOn w:val="Normalny"/>
    <w:qFormat/>
    <w:pPr>
      <w:keepNext/>
      <w:spacing w:before="240" w:after="120"/>
      <w:ind w:left="113" w:right="113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customStyle="1" w:styleId="caption1">
    <w:name w:val="caption1"/>
    <w:basedOn w:val="Normalny"/>
    <w:qFormat/>
    <w:pPr>
      <w:suppressLineNumbers/>
      <w:spacing w:before="120" w:after="120"/>
      <w:ind w:left="113" w:right="113"/>
    </w:pPr>
    <w:rPr>
      <w:rFonts w:ascii="Arial Narrow" w:hAnsi="Arial Narrow" w:cs="FreeSans"/>
      <w:i/>
      <w:iCs/>
      <w:lang w:eastAsia="zh-CN"/>
    </w:rPr>
  </w:style>
  <w:style w:type="paragraph" w:customStyle="1" w:styleId="AbsatzTableFormat">
    <w:name w:val="AbsatzTableFormat"/>
    <w:basedOn w:val="Normalny"/>
    <w:qFormat/>
    <w:rPr>
      <w:rFonts w:ascii="Arial" w:hAnsi="Arial" w:cs="Arial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spacing w:before="60" w:after="60"/>
      <w:ind w:left="113" w:right="113"/>
    </w:pPr>
    <w:rPr>
      <w:rFonts w:ascii="Arial Narrow" w:hAnsi="Arial Narrow" w:cs="Arial Narrow"/>
      <w:b/>
      <w:i/>
      <w:szCs w:val="20"/>
      <w:lang w:eastAsia="zh-CN"/>
    </w:rPr>
  </w:style>
  <w:style w:type="paragraph" w:customStyle="1" w:styleId="Body">
    <w:name w:val="Body"/>
    <w:qFormat/>
    <w:pPr>
      <w:spacing w:line="100" w:lineRule="atLeast"/>
    </w:pPr>
    <w:rPr>
      <w:rFonts w:ascii="Helvetica" w:eastAsia="ヒラギノ角ゴ Pro W3" w:hAnsi="Helvetica" w:cs="Helvetica"/>
      <w:color w:val="000000"/>
      <w:sz w:val="24"/>
      <w:szCs w:val="20"/>
      <w:lang w:bidi="ar-SA"/>
    </w:rPr>
  </w:style>
  <w:style w:type="paragraph" w:customStyle="1" w:styleId="Styl1">
    <w:name w:val="Styl1"/>
    <w:basedOn w:val="Normalny"/>
    <w:qFormat/>
    <w:pPr>
      <w:tabs>
        <w:tab w:val="left" w:pos="360"/>
      </w:tabs>
      <w:spacing w:before="60" w:after="60"/>
      <w:ind w:left="113" w:right="113"/>
    </w:pPr>
    <w:rPr>
      <w:rFonts w:ascii="Arial Narrow" w:hAnsi="Arial Narrow" w:cs="Arial Narrow"/>
      <w:szCs w:val="22"/>
      <w:lang w:eastAsia="zh-CN"/>
    </w:rPr>
  </w:style>
  <w:style w:type="paragraph" w:customStyle="1" w:styleId="Legenda1">
    <w:name w:val="Legenda1"/>
    <w:basedOn w:val="Normalny"/>
    <w:qFormat/>
    <w:pPr>
      <w:jc w:val="center"/>
    </w:pPr>
    <w:rPr>
      <w:b/>
      <w:sz w:val="16"/>
      <w:szCs w:val="16"/>
      <w:lang w:eastAsia="zh-CN"/>
    </w:rPr>
  </w:style>
  <w:style w:type="paragraph" w:customStyle="1" w:styleId="Domylnie">
    <w:name w:val="Domyślnie"/>
    <w:qFormat/>
    <w:pPr>
      <w:spacing w:line="100" w:lineRule="atLeast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NormalTable1">
    <w:name w:val="Normal Table1"/>
    <w:qFormat/>
    <w:pPr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redniasiatka21">
    <w:name w:val="Średnia siatka 21"/>
    <w:qFormat/>
    <w:pPr>
      <w:spacing w:line="100" w:lineRule="atLeast"/>
    </w:pPr>
    <w:rPr>
      <w:rFonts w:eastAsia="Times New Roman" w:cs="Calibri"/>
      <w:color w:val="00000A"/>
      <w:szCs w:val="22"/>
      <w:lang w:bidi="ar-SA"/>
    </w:rPr>
  </w:style>
  <w:style w:type="paragraph" w:customStyle="1" w:styleId="western">
    <w:name w:val="western"/>
    <w:basedOn w:val="Normalny"/>
    <w:qFormat/>
    <w:pPr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qFormat/>
    <w:pPr>
      <w:widowControl w:val="0"/>
      <w:spacing w:line="100" w:lineRule="atLeast"/>
    </w:pPr>
    <w:rPr>
      <w:rFonts w:ascii="Garamond" w:eastAsia="Times New Roman" w:hAnsi="Garamond" w:cs="Garamond"/>
      <w:color w:val="00000A"/>
      <w:sz w:val="24"/>
      <w:lang w:eastAsia="pl-PL"/>
    </w:rPr>
  </w:style>
  <w:style w:type="paragraph" w:customStyle="1" w:styleId="kropamylniktxt">
    <w:name w:val="kropa myślnik txt"/>
    <w:basedOn w:val="Normalny"/>
    <w:qFormat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Nagwek21">
    <w:name w:val="Nagłówek 21"/>
    <w:basedOn w:val="Normalny"/>
    <w:qFormat/>
    <w:rPr>
      <w:rFonts w:ascii="Verdana" w:hAnsi="Verdana"/>
      <w:b/>
      <w:bCs/>
      <w:sz w:val="20"/>
    </w:rPr>
  </w:style>
  <w:style w:type="paragraph" w:customStyle="1" w:styleId="Nagwek41">
    <w:name w:val="Nagłówek 41"/>
    <w:basedOn w:val="Normalny"/>
    <w:qFormat/>
    <w:rPr>
      <w:rFonts w:ascii="Tahoma" w:hAnsi="Tahoma"/>
      <w:b/>
      <w:bCs/>
      <w:sz w:val="20"/>
      <w:szCs w:val="20"/>
    </w:rPr>
  </w:style>
  <w:style w:type="paragraph" w:customStyle="1" w:styleId="Nagwek11">
    <w:name w:val="Nagłówek 11"/>
    <w:basedOn w:val="Normalny"/>
    <w:qFormat/>
    <w:pPr>
      <w:spacing w:before="65"/>
      <w:ind w:left="147"/>
    </w:pPr>
    <w:rPr>
      <w:rFonts w:ascii="Verdana" w:hAnsi="Verdana" w:cs="Arial"/>
      <w:bCs/>
      <w:szCs w:val="26"/>
    </w:rPr>
  </w:style>
  <w:style w:type="paragraph" w:customStyle="1" w:styleId="Nagwek31">
    <w:name w:val="Nagłówek 31"/>
    <w:basedOn w:val="Normalny"/>
    <w:qFormat/>
    <w:pPr>
      <w:ind w:left="637"/>
    </w:pPr>
    <w:rPr>
      <w:rFonts w:ascii="Arial" w:hAnsi="Arial" w:cs="Arial"/>
    </w:rPr>
  </w:style>
  <w:style w:type="paragraph" w:styleId="Spistreci1">
    <w:name w:val="toc 1"/>
    <w:basedOn w:val="Normalny"/>
    <w:pPr>
      <w:spacing w:after="200" w:line="276" w:lineRule="auto"/>
    </w:pPr>
    <w:rPr>
      <w:rFonts w:ascii="Verdana" w:eastAsia="Calibri" w:hAnsi="Verdana"/>
      <w:sz w:val="18"/>
      <w:szCs w:val="22"/>
      <w:lang w:eastAsia="en-US"/>
    </w:rPr>
  </w:style>
  <w:style w:type="paragraph" w:styleId="Spistreci2">
    <w:name w:val="toc 2"/>
    <w:basedOn w:val="Normalny"/>
    <w:pPr>
      <w:spacing w:after="200" w:line="276" w:lineRule="auto"/>
      <w:ind w:left="220"/>
    </w:pPr>
    <w:rPr>
      <w:rFonts w:ascii="Verdana" w:eastAsia="Calibri" w:hAnsi="Verdana"/>
      <w:sz w:val="18"/>
      <w:szCs w:val="22"/>
      <w:lang w:eastAsia="en-US"/>
    </w:rPr>
  </w:style>
  <w:style w:type="paragraph" w:customStyle="1" w:styleId="Nagwek51">
    <w:name w:val="Nagłówek 51"/>
    <w:basedOn w:val="Normalny"/>
    <w:qFormat/>
    <w:pPr>
      <w:ind w:left="176"/>
    </w:pPr>
    <w:rPr>
      <w:rFonts w:ascii="Verdana" w:hAnsi="Verdana" w:cs="Calibri"/>
      <w:b/>
      <w:bCs/>
    </w:rPr>
  </w:style>
  <w:style w:type="paragraph" w:customStyle="1" w:styleId="Teksttreci90">
    <w:name w:val="Tekst treści (9)"/>
    <w:basedOn w:val="Normalny"/>
    <w:qFormat/>
    <w:pPr>
      <w:shd w:val="clear" w:color="auto" w:fill="FFFFFF"/>
      <w:spacing w:before="780" w:line="402" w:lineRule="exact"/>
      <w:jc w:val="both"/>
    </w:pPr>
    <w:rPr>
      <w:rFonts w:ascii="Calibri" w:hAnsi="Calibri" w:cs="Calibri"/>
      <w:szCs w:val="22"/>
      <w:lang w:eastAsia="en-US"/>
    </w:rPr>
  </w:style>
  <w:style w:type="paragraph" w:customStyle="1" w:styleId="Tabelasiatki31">
    <w:name w:val="Tabela siatki 31"/>
    <w:basedOn w:val="Nagwek1"/>
    <w:qFormat/>
    <w:pPr>
      <w:keepLines/>
      <w:spacing w:before="480" w:line="276" w:lineRule="auto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elegancki">
    <w:name w:val="elegancki"/>
    <w:basedOn w:val="Normalny"/>
    <w:qFormat/>
    <w:pPr>
      <w:spacing w:before="280" w:after="280"/>
    </w:pPr>
    <w:rPr>
      <w:rFonts w:ascii="Arial Unicode MS" w:eastAsia="Arial Unicode MS" w:hAnsi="Arial Unicode MS" w:cs="Arial Unicode MS"/>
      <w:color w:val="8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4821</Words>
  <Characters>28931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dc:description/>
  <cp:lastModifiedBy>logistyka</cp:lastModifiedBy>
  <cp:revision>2</cp:revision>
  <cp:lastPrinted>2024-02-02T07:51:00Z</cp:lastPrinted>
  <dcterms:created xsi:type="dcterms:W3CDTF">2024-02-27T11:00:00Z</dcterms:created>
  <dcterms:modified xsi:type="dcterms:W3CDTF">2024-02-27T11:00:00Z</dcterms:modified>
  <dc:language>pl-PL</dc:language>
</cp:coreProperties>
</file>