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03AB2206" w:rsidR="00B37185" w:rsidRPr="00B37185" w:rsidRDefault="00B37185" w:rsidP="00B56D1C">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B31DDA" w:rsidRPr="00B31DDA">
        <w:rPr>
          <w:rFonts w:ascii="Arial" w:eastAsia="Calibri" w:hAnsi="Arial" w:cs="Arial"/>
          <w:b/>
          <w:bCs/>
          <w:i/>
        </w:rPr>
        <w:t>„Przebudowa wraz z rozbudową budynku warsztatowo-garażowego na wielofunkcyjny budynek aktywizacji społecznej i zawodowej mieszkańców Gminy Nawojowa na działce 257 w Nawojowej”.</w:t>
      </w:r>
      <w:r w:rsidR="00B56D1C">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305C4FA" w14:textId="152CDF0B" w:rsidR="00B56D1C" w:rsidRPr="00E80631" w:rsidRDefault="00B37185" w:rsidP="00E80631">
      <w:pPr>
        <w:numPr>
          <w:ilvl w:val="0"/>
          <w:numId w:val="10"/>
        </w:numPr>
        <w:spacing w:after="200" w:line="276" w:lineRule="auto"/>
        <w:contextualSpacing/>
        <w:jc w:val="both"/>
        <w:rPr>
          <w:rFonts w:ascii="Arial" w:eastAsia="Calibri" w:hAnsi="Arial" w:cs="Arial"/>
          <w:b/>
          <w:bCs/>
          <w:i/>
        </w:rPr>
      </w:pPr>
      <w:r w:rsidRPr="00E80631">
        <w:rPr>
          <w:rFonts w:ascii="Arial" w:eastAsia="Calibri" w:hAnsi="Arial" w:cs="Arial"/>
        </w:rPr>
        <w:t>Zamawiający zleca a Wykonawca przyjmuje i zobowiązuje się do</w:t>
      </w:r>
      <w:r w:rsidRPr="00E80631">
        <w:rPr>
          <w:rFonts w:ascii="Arial" w:eastAsia="Arial" w:hAnsi="Arial" w:cs="Arial"/>
        </w:rPr>
        <w:t xml:space="preserve"> wykonania </w:t>
      </w:r>
      <w:r w:rsidRPr="00E80631">
        <w:rPr>
          <w:rFonts w:ascii="Arial" w:eastAsia="Calibri" w:hAnsi="Arial" w:cs="Arial"/>
        </w:rPr>
        <w:t xml:space="preserve">robót budowlanych, dotyczących: </w:t>
      </w:r>
      <w:bookmarkStart w:id="0" w:name="_Hlk81218959"/>
      <w:r w:rsidR="00B31DDA" w:rsidRPr="00B31DDA">
        <w:rPr>
          <w:rFonts w:ascii="Arial" w:eastAsia="Calibri" w:hAnsi="Arial" w:cs="Arial"/>
          <w:b/>
          <w:bCs/>
          <w:i/>
        </w:rPr>
        <w:t>„Przebudowa wraz z rozbudową budynku warsztatowo-garażowego na wielofunkcyjny budynek aktywizacji społecznej i zawodowej mieszkańców Gminy Nawojowa na działce 257 w Nawojowej”.</w:t>
      </w:r>
    </w:p>
    <w:p w14:paraId="5E8F781E" w14:textId="73F0B5A5" w:rsidR="00B56D1C" w:rsidRDefault="00B56D1C" w:rsidP="00B56D1C">
      <w:pPr>
        <w:spacing w:after="200" w:line="276" w:lineRule="auto"/>
        <w:ind w:firstLine="360"/>
        <w:contextualSpacing/>
        <w:jc w:val="both"/>
        <w:rPr>
          <w:rFonts w:ascii="Arial" w:eastAsia="Calibri" w:hAnsi="Arial" w:cs="Times New Roman"/>
        </w:rPr>
      </w:pPr>
      <w:r w:rsidRPr="00B56D1C">
        <w:rPr>
          <w:rFonts w:ascii="Arial" w:eastAsia="Calibri" w:hAnsi="Arial" w:cs="Times New Roman"/>
        </w:rPr>
        <w:t>Zakres robót obejmuje w szczególności:</w:t>
      </w:r>
    </w:p>
    <w:p w14:paraId="35665535" w14:textId="4BCE43B4" w:rsidR="00B31DDA" w:rsidRPr="00B31DDA" w:rsidRDefault="00B31DDA" w:rsidP="00B31DDA">
      <w:pPr>
        <w:pStyle w:val="Akapitzlist"/>
        <w:numPr>
          <w:ilvl w:val="0"/>
          <w:numId w:val="39"/>
        </w:numPr>
        <w:jc w:val="both"/>
        <w:rPr>
          <w:rFonts w:ascii="Arial" w:eastAsia="Calibri" w:hAnsi="Arial" w:cs="Times New Roman"/>
        </w:rPr>
      </w:pPr>
      <w:r w:rsidRPr="00B31DDA">
        <w:rPr>
          <w:rFonts w:ascii="Arial" w:eastAsia="Calibri" w:hAnsi="Arial" w:cs="Times New Roman"/>
        </w:rPr>
        <w:t>Roboty remontowo - budowlane</w:t>
      </w:r>
    </w:p>
    <w:p w14:paraId="31DFB503" w14:textId="1F53FB8B"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Roboty demontażowe i rozbiórkowe;</w:t>
      </w:r>
    </w:p>
    <w:p w14:paraId="6E2FF700" w14:textId="50C60C7C"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Roboty ziemne i przygotowawcze;</w:t>
      </w:r>
    </w:p>
    <w:p w14:paraId="41239CB5" w14:textId="2E162BC7"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Roboty fundamentowe, izolacyjne;</w:t>
      </w:r>
    </w:p>
    <w:p w14:paraId="0E3FA034" w14:textId="2E39340A"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Roboty murowe i konstrukcyjne;</w:t>
      </w:r>
    </w:p>
    <w:p w14:paraId="39F19334" w14:textId="182AD20E"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Zbrojenie konstrukcji;</w:t>
      </w:r>
    </w:p>
    <w:p w14:paraId="03A90118" w14:textId="1F678FC6"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Wentylacje i kominy;</w:t>
      </w:r>
    </w:p>
    <w:p w14:paraId="059BA8F9" w14:textId="51369B45"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Konstrukcja drewniana dachu;</w:t>
      </w:r>
    </w:p>
    <w:p w14:paraId="3FAE1539" w14:textId="5A29898D"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Obudowa p.pożarowa dachu;</w:t>
      </w:r>
    </w:p>
    <w:p w14:paraId="14711176" w14:textId="1E711453"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Roboty pokrywcze;</w:t>
      </w:r>
    </w:p>
    <w:p w14:paraId="50B7A8F8" w14:textId="6FA669DD"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Docieplenie stropu;</w:t>
      </w:r>
    </w:p>
    <w:p w14:paraId="30DA086A" w14:textId="4266A2AD"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Stolarka zewnętrzna;</w:t>
      </w:r>
    </w:p>
    <w:p w14:paraId="37818793" w14:textId="227E7172"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Montaż parapetów;</w:t>
      </w:r>
    </w:p>
    <w:p w14:paraId="7F3AEDA9" w14:textId="1C4359E9"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Podłogi i posadzki;</w:t>
      </w:r>
    </w:p>
    <w:p w14:paraId="12BC75BE" w14:textId="031CF180"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Stolarka wewnętrzna;</w:t>
      </w:r>
    </w:p>
    <w:p w14:paraId="62FDAB8D" w14:textId="0F843E22"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lastRenderedPageBreak/>
        <w:t>Roboty okładzinowe, tynki wewnętrzne;</w:t>
      </w:r>
    </w:p>
    <w:p w14:paraId="38AB1C89" w14:textId="4C197D99"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Robory malarskie;</w:t>
      </w:r>
    </w:p>
    <w:p w14:paraId="17728538" w14:textId="3EDBB097"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Montaż uchwytów dla osób niepełnosprawnych;</w:t>
      </w:r>
    </w:p>
    <w:p w14:paraId="1F6D79D5" w14:textId="5F1CB39E"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Ocieplenie ścian zewnętrznych,</w:t>
      </w:r>
    </w:p>
    <w:p w14:paraId="45E7949B" w14:textId="2DE06C80" w:rsidR="00B31DDA" w:rsidRPr="00B31DDA" w:rsidRDefault="00B31DDA" w:rsidP="00B31DDA">
      <w:pPr>
        <w:pStyle w:val="Akapitzlist"/>
        <w:numPr>
          <w:ilvl w:val="0"/>
          <w:numId w:val="41"/>
        </w:numPr>
        <w:jc w:val="both"/>
        <w:rPr>
          <w:rFonts w:ascii="Arial" w:eastAsia="Calibri" w:hAnsi="Arial" w:cs="Times New Roman"/>
        </w:rPr>
      </w:pPr>
      <w:r w:rsidRPr="00B31DDA">
        <w:rPr>
          <w:rFonts w:ascii="Arial" w:eastAsia="Calibri" w:hAnsi="Arial" w:cs="Times New Roman"/>
        </w:rPr>
        <w:t>Nawierzchnie utwardzone;</w:t>
      </w:r>
    </w:p>
    <w:p w14:paraId="603CC8EF" w14:textId="6CAED844" w:rsidR="00B31DDA" w:rsidRPr="00B31DDA" w:rsidRDefault="00B31DDA" w:rsidP="00B31DDA">
      <w:pPr>
        <w:pStyle w:val="Akapitzlist"/>
        <w:numPr>
          <w:ilvl w:val="0"/>
          <w:numId w:val="39"/>
        </w:numPr>
        <w:jc w:val="both"/>
        <w:rPr>
          <w:rFonts w:ascii="Arial" w:eastAsia="Calibri" w:hAnsi="Arial" w:cs="Times New Roman"/>
        </w:rPr>
      </w:pPr>
      <w:r w:rsidRPr="00B31DDA">
        <w:rPr>
          <w:rFonts w:ascii="Arial" w:eastAsia="Calibri" w:hAnsi="Arial" w:cs="Times New Roman"/>
        </w:rPr>
        <w:t>Roboty instalacyjne sanitarne;</w:t>
      </w:r>
    </w:p>
    <w:p w14:paraId="16F575BC" w14:textId="607827C3"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Instalacja c.o.;</w:t>
      </w:r>
    </w:p>
    <w:p w14:paraId="61B258E7" w14:textId="0BAA5CC0"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Kotłownia;</w:t>
      </w:r>
    </w:p>
    <w:p w14:paraId="12098B2F" w14:textId="28749E36"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Instalacja gazowa;</w:t>
      </w:r>
    </w:p>
    <w:p w14:paraId="132D47D1" w14:textId="2595139F"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Instalacja wodociągowa;</w:t>
      </w:r>
    </w:p>
    <w:p w14:paraId="4B28EA2D" w14:textId="4445A949"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Instalacja kanalizacyjna;</w:t>
      </w:r>
    </w:p>
    <w:p w14:paraId="7BACA499" w14:textId="489E82E7"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Przebudowa sieci wodociągowej;</w:t>
      </w:r>
    </w:p>
    <w:p w14:paraId="29338323" w14:textId="693E9DC0" w:rsidR="00B31DDA" w:rsidRPr="00B31DDA" w:rsidRDefault="00B31DDA" w:rsidP="00B31DDA">
      <w:pPr>
        <w:pStyle w:val="Akapitzlist"/>
        <w:numPr>
          <w:ilvl w:val="0"/>
          <w:numId w:val="43"/>
        </w:numPr>
        <w:jc w:val="both"/>
        <w:rPr>
          <w:rFonts w:ascii="Arial" w:eastAsia="Calibri" w:hAnsi="Arial" w:cs="Times New Roman"/>
        </w:rPr>
      </w:pPr>
      <w:r w:rsidRPr="00B31DDA">
        <w:rPr>
          <w:rFonts w:ascii="Arial" w:eastAsia="Calibri" w:hAnsi="Arial" w:cs="Times New Roman"/>
        </w:rPr>
        <w:t>Przyłącze wodociągowe.</w:t>
      </w:r>
    </w:p>
    <w:p w14:paraId="383A8B70" w14:textId="53FB5AB7" w:rsidR="00B31DDA" w:rsidRPr="00B31DDA" w:rsidRDefault="00B31DDA" w:rsidP="00B31DDA">
      <w:pPr>
        <w:pStyle w:val="Akapitzlist"/>
        <w:numPr>
          <w:ilvl w:val="0"/>
          <w:numId w:val="39"/>
        </w:numPr>
        <w:jc w:val="both"/>
        <w:rPr>
          <w:rFonts w:ascii="Arial" w:eastAsia="Calibri" w:hAnsi="Arial" w:cs="Times New Roman"/>
        </w:rPr>
      </w:pPr>
      <w:r w:rsidRPr="00B31DDA">
        <w:rPr>
          <w:rFonts w:ascii="Arial" w:eastAsia="Calibri" w:hAnsi="Arial" w:cs="Times New Roman"/>
        </w:rPr>
        <w:t>Instalacje elektryczne wewnętrzne:</w:t>
      </w:r>
    </w:p>
    <w:p w14:paraId="39042A98" w14:textId="202EBCCF" w:rsidR="00B31DDA" w:rsidRPr="00B31DDA" w:rsidRDefault="00B31DDA" w:rsidP="00B31DDA">
      <w:pPr>
        <w:pStyle w:val="Akapitzlist"/>
        <w:numPr>
          <w:ilvl w:val="0"/>
          <w:numId w:val="45"/>
        </w:numPr>
        <w:jc w:val="both"/>
        <w:rPr>
          <w:rFonts w:ascii="Arial" w:eastAsia="Calibri" w:hAnsi="Arial" w:cs="Times New Roman"/>
        </w:rPr>
      </w:pPr>
      <w:r w:rsidRPr="00B31DDA">
        <w:rPr>
          <w:rFonts w:ascii="Arial" w:eastAsia="Calibri" w:hAnsi="Arial" w:cs="Times New Roman"/>
        </w:rPr>
        <w:t>Roboty demontażowe;</w:t>
      </w:r>
    </w:p>
    <w:p w14:paraId="6FE2DA10" w14:textId="04E058AA" w:rsidR="00B31DDA" w:rsidRPr="00B31DDA" w:rsidRDefault="00B31DDA" w:rsidP="00B31DDA">
      <w:pPr>
        <w:pStyle w:val="Akapitzlist"/>
        <w:numPr>
          <w:ilvl w:val="0"/>
          <w:numId w:val="45"/>
        </w:numPr>
        <w:jc w:val="both"/>
        <w:rPr>
          <w:rFonts w:ascii="Arial" w:eastAsia="Calibri" w:hAnsi="Arial" w:cs="Times New Roman"/>
        </w:rPr>
      </w:pPr>
      <w:r w:rsidRPr="00B31DDA">
        <w:rPr>
          <w:rFonts w:ascii="Arial" w:eastAsia="Calibri" w:hAnsi="Arial" w:cs="Times New Roman"/>
        </w:rPr>
        <w:t>Zasilanie WLZ, rozdzielnia;</w:t>
      </w:r>
    </w:p>
    <w:p w14:paraId="6CD497A3" w14:textId="4B9F2CA3" w:rsidR="00B31DDA" w:rsidRPr="00B31DDA" w:rsidRDefault="00B31DDA" w:rsidP="00B31DDA">
      <w:pPr>
        <w:pStyle w:val="Akapitzlist"/>
        <w:numPr>
          <w:ilvl w:val="0"/>
          <w:numId w:val="45"/>
        </w:numPr>
        <w:jc w:val="both"/>
        <w:rPr>
          <w:rFonts w:ascii="Arial" w:eastAsia="Calibri" w:hAnsi="Arial" w:cs="Times New Roman"/>
        </w:rPr>
      </w:pPr>
      <w:r w:rsidRPr="00B31DDA">
        <w:rPr>
          <w:rFonts w:ascii="Arial" w:eastAsia="Calibri" w:hAnsi="Arial" w:cs="Times New Roman"/>
        </w:rPr>
        <w:t>Instalacja elektryczna;</w:t>
      </w:r>
    </w:p>
    <w:p w14:paraId="32CA43EC" w14:textId="08661C61" w:rsidR="00B31DDA" w:rsidRPr="00B31DDA" w:rsidRDefault="00B31DDA" w:rsidP="00B31DDA">
      <w:pPr>
        <w:pStyle w:val="Akapitzlist"/>
        <w:numPr>
          <w:ilvl w:val="0"/>
          <w:numId w:val="45"/>
        </w:numPr>
        <w:jc w:val="both"/>
        <w:rPr>
          <w:rFonts w:ascii="Arial" w:eastAsia="Calibri" w:hAnsi="Arial" w:cs="Times New Roman"/>
        </w:rPr>
      </w:pPr>
      <w:r w:rsidRPr="00B31DDA">
        <w:rPr>
          <w:rFonts w:ascii="Arial" w:eastAsia="Calibri" w:hAnsi="Arial" w:cs="Times New Roman"/>
        </w:rPr>
        <w:t>Instalacja przyzywowa;</w:t>
      </w:r>
    </w:p>
    <w:p w14:paraId="149C8A61" w14:textId="204924B3" w:rsidR="00B31DDA" w:rsidRPr="00B31DDA" w:rsidRDefault="00B31DDA" w:rsidP="00B31DDA">
      <w:pPr>
        <w:pStyle w:val="Akapitzlist"/>
        <w:numPr>
          <w:ilvl w:val="0"/>
          <w:numId w:val="45"/>
        </w:numPr>
        <w:jc w:val="both"/>
        <w:rPr>
          <w:rFonts w:ascii="Arial" w:eastAsia="Calibri" w:hAnsi="Arial" w:cs="Times New Roman"/>
        </w:rPr>
      </w:pPr>
      <w:r w:rsidRPr="00B31DDA">
        <w:rPr>
          <w:rFonts w:ascii="Arial" w:eastAsia="Calibri" w:hAnsi="Arial" w:cs="Times New Roman"/>
        </w:rPr>
        <w:t>Instalacja teleinformatyczna.</w:t>
      </w:r>
    </w:p>
    <w:p w14:paraId="74756436" w14:textId="54757651" w:rsidR="00B31DDA" w:rsidRPr="00B31DDA" w:rsidRDefault="00B31DDA" w:rsidP="00B31DDA">
      <w:pPr>
        <w:pStyle w:val="Akapitzlist"/>
        <w:numPr>
          <w:ilvl w:val="0"/>
          <w:numId w:val="39"/>
        </w:numPr>
        <w:jc w:val="both"/>
        <w:rPr>
          <w:rFonts w:ascii="Arial" w:eastAsia="Calibri" w:hAnsi="Arial" w:cs="Times New Roman"/>
        </w:rPr>
      </w:pPr>
      <w:r w:rsidRPr="00B31DDA">
        <w:rPr>
          <w:rFonts w:ascii="Arial" w:eastAsia="Calibri" w:hAnsi="Arial" w:cs="Times New Roman"/>
        </w:rPr>
        <w:t>Instalacja elektryczna zewnętrzna.</w:t>
      </w:r>
    </w:p>
    <w:p w14:paraId="3D3B3765" w14:textId="77777777" w:rsidR="00B31DDA" w:rsidRPr="00B56D1C" w:rsidRDefault="00B31DDA" w:rsidP="00B56D1C">
      <w:pPr>
        <w:spacing w:after="200" w:line="276" w:lineRule="auto"/>
        <w:ind w:firstLine="360"/>
        <w:contextualSpacing/>
        <w:jc w:val="both"/>
        <w:rPr>
          <w:rFonts w:ascii="Arial" w:eastAsia="Calibri" w:hAnsi="Arial" w:cs="Times New Roman"/>
        </w:rPr>
      </w:pPr>
    </w:p>
    <w:bookmarkEnd w:id="0"/>
    <w:p w14:paraId="148190EE"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35487B97" w14:textId="77777777" w:rsidR="00B31DDA" w:rsidRPr="00B31DDA" w:rsidRDefault="00B31DDA" w:rsidP="00B31DDA">
      <w:pPr>
        <w:spacing w:after="200" w:line="276" w:lineRule="auto"/>
        <w:ind w:left="720"/>
        <w:contextualSpacing/>
        <w:rPr>
          <w:rFonts w:ascii="Arial" w:eastAsia="Calibri" w:hAnsi="Arial" w:cs="Times New Roman"/>
        </w:rPr>
      </w:pPr>
      <w:r w:rsidRPr="00B31DDA">
        <w:rPr>
          <w:rFonts w:ascii="Arial" w:eastAsia="Calibri" w:hAnsi="Arial" w:cs="Times New Roman"/>
        </w:rPr>
        <w:t>a)</w:t>
      </w:r>
      <w:r w:rsidRPr="00B31DDA">
        <w:rPr>
          <w:rFonts w:ascii="Arial" w:eastAsia="Calibri" w:hAnsi="Arial" w:cs="Times New Roman"/>
        </w:rPr>
        <w:tab/>
        <w:t>uzyskanie w imieniu Zamawiającego w Powiatowym Inspektoracie Nadzoru Budowlanego w Nowym Sączu pozwolenia na użytkowanie obiektów włącznie ze zgromadzeniem wszelkich niezbędnych dokumentów powykonawczych odpowiednio do zakresu wykonanych robót, sporządzeniem wniosku o wydanie decyzji o pozwoleniu na użytkowanie obiektu z kompletem załączników, złożeniem dokumentów w Powiatowym Inspektoracie Nadzoru Budowlanego, dostarczeniem Zamawiającemu pozwolenia na użytkowanie. Po podpisaniu umowy Zamawiający udzieli wykonawcy stosownego upoważnienia do działania w jego imieniu przed właściwymi instytucjami i organami w powyższej sprawie;</w:t>
      </w:r>
    </w:p>
    <w:p w14:paraId="38BA1FBB" w14:textId="77777777" w:rsidR="00B31DDA" w:rsidRPr="00B31DDA" w:rsidRDefault="00B31DDA" w:rsidP="00B31DDA">
      <w:pPr>
        <w:spacing w:after="200" w:line="276" w:lineRule="auto"/>
        <w:ind w:left="720"/>
        <w:contextualSpacing/>
        <w:rPr>
          <w:rFonts w:ascii="Arial" w:eastAsia="Calibri" w:hAnsi="Arial" w:cs="Times New Roman"/>
        </w:rPr>
      </w:pPr>
    </w:p>
    <w:p w14:paraId="57601489" w14:textId="77777777" w:rsidR="00B31DDA" w:rsidRPr="00B31DDA" w:rsidRDefault="00B31DDA" w:rsidP="00B31DDA">
      <w:pPr>
        <w:spacing w:after="200" w:line="276" w:lineRule="auto"/>
        <w:ind w:left="720"/>
        <w:contextualSpacing/>
        <w:rPr>
          <w:rFonts w:ascii="Arial" w:eastAsia="Calibri" w:hAnsi="Arial" w:cs="Times New Roman"/>
        </w:rPr>
      </w:pPr>
      <w:r w:rsidRPr="00B31DDA">
        <w:rPr>
          <w:rFonts w:ascii="Arial" w:eastAsia="Calibri" w:hAnsi="Arial" w:cs="Times New Roman"/>
        </w:rPr>
        <w:t>b)</w:t>
      </w:r>
      <w:r w:rsidRPr="00B31DDA">
        <w:rPr>
          <w:rFonts w:ascii="Arial" w:eastAsia="Calibri" w:hAnsi="Arial" w:cs="Times New Roman"/>
        </w:rPr>
        <w:tab/>
        <w:t xml:space="preserve">odpowiedzialność za jakość, zgodność z warunkami technicznymi i jakościowymi opisanymi dla przedmiotu zamówienia. Całość robót należy wykonać zgodnie z dokumentacją projektową oraz obowiązującymi przepisami; </w:t>
      </w:r>
    </w:p>
    <w:p w14:paraId="1C00B02D" w14:textId="77777777" w:rsidR="00B31DDA" w:rsidRPr="00B31DDA" w:rsidRDefault="00B31DDA" w:rsidP="00B31DDA">
      <w:pPr>
        <w:spacing w:after="200" w:line="276" w:lineRule="auto"/>
        <w:ind w:left="720"/>
        <w:contextualSpacing/>
        <w:rPr>
          <w:rFonts w:ascii="Arial" w:eastAsia="Calibri" w:hAnsi="Arial" w:cs="Times New Roman"/>
        </w:rPr>
      </w:pPr>
    </w:p>
    <w:p w14:paraId="3C58DE9F" w14:textId="6173711B" w:rsidR="00B37185" w:rsidRPr="006F154D" w:rsidRDefault="00B31DDA" w:rsidP="00B31DDA">
      <w:pPr>
        <w:spacing w:after="200" w:line="276" w:lineRule="auto"/>
        <w:ind w:left="720"/>
        <w:contextualSpacing/>
        <w:rPr>
          <w:rFonts w:ascii="Arial" w:eastAsia="Calibri" w:hAnsi="Arial" w:cs="Arial"/>
        </w:rPr>
      </w:pPr>
      <w:r w:rsidRPr="00B31DDA">
        <w:rPr>
          <w:rFonts w:ascii="Arial" w:eastAsia="Calibri" w:hAnsi="Arial" w:cs="Times New Roman"/>
        </w:rPr>
        <w:t>c)</w:t>
      </w:r>
      <w:r w:rsidRPr="00B31DDA">
        <w:rPr>
          <w:rFonts w:ascii="Arial" w:eastAsia="Calibri" w:hAnsi="Arial" w:cs="Times New Roman"/>
        </w:rPr>
        <w:tab/>
        <w:t>pełna obsługa geodezyjna budowy wraz z geodezyjną inwentaryzacją powykonawczą sporządzoną w trzech kompletach w skali 1:500 oraz wykonanie dokumentacji powykonawczej dla zakresu objętego umową</w:t>
      </w: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w:t>
      </w:r>
      <w:r w:rsidRPr="00B37185">
        <w:rPr>
          <w:rFonts w:ascii="Arial" w:eastAsia="Calibri" w:hAnsi="Arial" w:cs="Arial"/>
        </w:rPr>
        <w:lastRenderedPageBreak/>
        <w:t xml:space="preserve">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219063F6"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B31DDA">
        <w:rPr>
          <w:rFonts w:ascii="Arial" w:eastAsia="Calibri" w:hAnsi="Arial" w:cs="Arial"/>
          <w:b/>
        </w:rPr>
        <w:t>15 listopad</w:t>
      </w:r>
      <w:r w:rsidR="00FC462D">
        <w:rPr>
          <w:rFonts w:ascii="Arial" w:eastAsia="Calibri" w:hAnsi="Arial" w:cs="Arial"/>
          <w:b/>
        </w:rPr>
        <w:t xml:space="preserve"> 202</w:t>
      </w:r>
      <w:r w:rsidR="00B31DDA">
        <w:rPr>
          <w:rFonts w:ascii="Arial" w:eastAsia="Calibri" w:hAnsi="Arial" w:cs="Arial"/>
          <w:b/>
        </w:rPr>
        <w:t>2</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6DF03BAC"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lastRenderedPageBreak/>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lastRenderedPageBreak/>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 xml:space="preserve">Co najmniej 3 dni wcześniej informowania Zamawiającego o terminie zakrycia robót ulegających zakryciu oraz terminie odbioru robót zanikających; jeżeli Wykonawca nie poinformował o tych faktach Zamawiającego zobowiązany jest odkryć roboty lub </w:t>
      </w:r>
      <w:r w:rsidRPr="00B37185">
        <w:rPr>
          <w:rFonts w:ascii="Arial" w:eastAsia="Calibri" w:hAnsi="Arial" w:cs="Arial"/>
        </w:rPr>
        <w:lastRenderedPageBreak/>
        <w:t>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lastRenderedPageBreak/>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lastRenderedPageBreak/>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A6FC4"/>
    <w:multiLevelType w:val="hybridMultilevel"/>
    <w:tmpl w:val="D8AE405C"/>
    <w:lvl w:ilvl="0" w:tplc="04150013">
      <w:start w:val="1"/>
      <w:numFmt w:val="upperRoman"/>
      <w:lvlText w:val="%1."/>
      <w:lvlJc w:val="righ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9"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2"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4"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72CC1"/>
    <w:multiLevelType w:val="hybridMultilevel"/>
    <w:tmpl w:val="9466B056"/>
    <w:lvl w:ilvl="0" w:tplc="E8524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C50DCF"/>
    <w:multiLevelType w:val="hybridMultilevel"/>
    <w:tmpl w:val="C2E2C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D767B39"/>
    <w:multiLevelType w:val="hybridMultilevel"/>
    <w:tmpl w:val="395AAB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8886AE0"/>
    <w:multiLevelType w:val="hybridMultilevel"/>
    <w:tmpl w:val="CBC493E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6"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0" w15:restartNumberingAfterBreak="0">
    <w:nsid w:val="7B276969"/>
    <w:multiLevelType w:val="hybridMultilevel"/>
    <w:tmpl w:val="482E93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2"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7EC3661E"/>
    <w:multiLevelType w:val="hybridMultilevel"/>
    <w:tmpl w:val="D2160E3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7"/>
  </w:num>
  <w:num w:numId="3">
    <w:abstractNumId w:val="35"/>
  </w:num>
  <w:num w:numId="4">
    <w:abstractNumId w:val="22"/>
  </w:num>
  <w:num w:numId="5">
    <w:abstractNumId w:val="15"/>
  </w:num>
  <w:num w:numId="6">
    <w:abstractNumId w:val="30"/>
  </w:num>
  <w:num w:numId="7">
    <w:abstractNumId w:val="8"/>
  </w:num>
  <w:num w:numId="8">
    <w:abstractNumId w:val="37"/>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20"/>
  </w:num>
  <w:num w:numId="17">
    <w:abstractNumId w:val="19"/>
  </w:num>
  <w:num w:numId="18">
    <w:abstractNumId w:val="17"/>
  </w:num>
  <w:num w:numId="19">
    <w:abstractNumId w:val="18"/>
  </w:num>
  <w:num w:numId="20">
    <w:abstractNumId w:val="42"/>
  </w:num>
  <w:num w:numId="21">
    <w:abstractNumId w:val="34"/>
  </w:num>
  <w:num w:numId="22">
    <w:abstractNumId w:val="5"/>
  </w:num>
  <w:num w:numId="23">
    <w:abstractNumId w:val="23"/>
  </w:num>
  <w:num w:numId="24">
    <w:abstractNumId w:val="16"/>
  </w:num>
  <w:num w:numId="25">
    <w:abstractNumId w:val="29"/>
  </w:num>
  <w:num w:numId="26">
    <w:abstractNumId w:val="43"/>
  </w:num>
  <w:num w:numId="27">
    <w:abstractNumId w:val="33"/>
  </w:num>
  <w:num w:numId="28">
    <w:abstractNumId w:val="9"/>
  </w:num>
  <w:num w:numId="29">
    <w:abstractNumId w:val="14"/>
  </w:num>
  <w:num w:numId="30">
    <w:abstractNumId w:val="36"/>
  </w:num>
  <w:num w:numId="31">
    <w:abstractNumId w:val="10"/>
  </w:num>
  <w:num w:numId="32">
    <w:abstractNumId w:val="41"/>
  </w:num>
  <w:num w:numId="33">
    <w:abstractNumId w:val="2"/>
  </w:num>
  <w:num w:numId="34">
    <w:abstractNumId w:val="12"/>
  </w:num>
  <w:num w:numId="35">
    <w:abstractNumId w:val="6"/>
  </w:num>
  <w:num w:numId="36">
    <w:abstractNumId w:val="38"/>
  </w:num>
  <w:num w:numId="37">
    <w:abstractNumId w:val="21"/>
  </w:num>
  <w:num w:numId="38">
    <w:abstractNumId w:val="28"/>
  </w:num>
  <w:num w:numId="39">
    <w:abstractNumId w:val="4"/>
  </w:num>
  <w:num w:numId="40">
    <w:abstractNumId w:val="24"/>
  </w:num>
  <w:num w:numId="41">
    <w:abstractNumId w:val="27"/>
  </w:num>
  <w:num w:numId="42">
    <w:abstractNumId w:val="31"/>
  </w:num>
  <w:num w:numId="43">
    <w:abstractNumId w:val="25"/>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96E02"/>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E3AF9"/>
    <w:rsid w:val="00912C77"/>
    <w:rsid w:val="009622D1"/>
    <w:rsid w:val="00964BC5"/>
    <w:rsid w:val="009E6049"/>
    <w:rsid w:val="00A604EA"/>
    <w:rsid w:val="00A706ED"/>
    <w:rsid w:val="00AB01C4"/>
    <w:rsid w:val="00AB3CED"/>
    <w:rsid w:val="00B31DDA"/>
    <w:rsid w:val="00B37185"/>
    <w:rsid w:val="00B56D1C"/>
    <w:rsid w:val="00B966B8"/>
    <w:rsid w:val="00BD41E1"/>
    <w:rsid w:val="00C467C7"/>
    <w:rsid w:val="00C62F39"/>
    <w:rsid w:val="00C73B9B"/>
    <w:rsid w:val="00D4532F"/>
    <w:rsid w:val="00D575EE"/>
    <w:rsid w:val="00D72E13"/>
    <w:rsid w:val="00D7613B"/>
    <w:rsid w:val="00DD215D"/>
    <w:rsid w:val="00E80631"/>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4647</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20</cp:revision>
  <cp:lastPrinted>2021-08-30T12:46:00Z</cp:lastPrinted>
  <dcterms:created xsi:type="dcterms:W3CDTF">2021-06-02T06:13:00Z</dcterms:created>
  <dcterms:modified xsi:type="dcterms:W3CDTF">2022-01-18T07:20:00Z</dcterms:modified>
</cp:coreProperties>
</file>