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446DA3">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7B7CDB" w:rsidRPr="007B7CDB">
        <w:rPr>
          <w:rFonts w:ascii="Arial" w:hAnsi="Arial" w:cs="Arial"/>
          <w:sz w:val="20"/>
          <w:szCs w:val="20"/>
        </w:rPr>
        <w:t>Dz.U.2021.1129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557A63" w:rsidRPr="000C7661" w:rsidRDefault="00557A63" w:rsidP="00465F49">
      <w:pPr>
        <w:spacing w:before="480" w:line="360" w:lineRule="auto"/>
        <w:jc w:val="center"/>
        <w:rPr>
          <w:rFonts w:ascii="Arial" w:hAnsi="Arial" w:cs="Arial"/>
          <w:sz w:val="20"/>
          <w:szCs w:val="20"/>
        </w:rPr>
      </w:pPr>
    </w:p>
    <w:p w:rsidR="00465F49" w:rsidRDefault="00465F49" w:rsidP="00557A63">
      <w:pPr>
        <w:spacing w:before="120" w:after="120" w:line="360" w:lineRule="auto"/>
        <w:jc w:val="center"/>
        <w:rPr>
          <w:rFonts w:ascii="Arial" w:hAnsi="Arial" w:cs="Arial"/>
          <w:b/>
        </w:rPr>
      </w:pPr>
      <w:r>
        <w:rPr>
          <w:rFonts w:ascii="Arial" w:hAnsi="Arial" w:cs="Arial"/>
          <w:b/>
        </w:rPr>
        <w:t>"</w:t>
      </w:r>
      <w:r w:rsidR="00931925" w:rsidRPr="00931925">
        <w:t xml:space="preserve"> </w:t>
      </w:r>
      <w:r w:rsidR="001270CC">
        <w:rPr>
          <w:rFonts w:ascii="Arial" w:hAnsi="Arial" w:cs="Arial"/>
          <w:b/>
        </w:rPr>
        <w:t xml:space="preserve">Modernizacja </w:t>
      </w:r>
      <w:r w:rsidR="00E47C4E">
        <w:rPr>
          <w:rFonts w:ascii="Arial" w:hAnsi="Arial" w:cs="Arial"/>
          <w:b/>
        </w:rPr>
        <w:t>drogi gminnej w m. Franciszków ul. Akacjowa i Dębowa</w:t>
      </w:r>
      <w:r w:rsidR="00CB295D">
        <w:rPr>
          <w:rFonts w:ascii="Arial" w:hAnsi="Arial" w:cs="Arial"/>
          <w:b/>
        </w:rPr>
        <w:t xml:space="preserve"> </w:t>
      </w:r>
      <w:r>
        <w:rPr>
          <w:rFonts w:ascii="Arial" w:hAnsi="Arial" w:cs="Arial"/>
          <w:b/>
        </w:rPr>
        <w:t>"</w:t>
      </w:r>
      <w:r w:rsidRPr="000C7661">
        <w:rPr>
          <w:rFonts w:ascii="Arial" w:hAnsi="Arial" w:cs="Arial"/>
          <w:b/>
        </w:rPr>
        <w:t xml:space="preserve"> </w:t>
      </w:r>
    </w:p>
    <w:p w:rsidR="00557A63" w:rsidRDefault="00557A63" w:rsidP="00557A63">
      <w:pPr>
        <w:spacing w:before="120" w:after="120" w:line="360" w:lineRule="auto"/>
        <w:jc w:val="center"/>
        <w:rPr>
          <w:rFonts w:ascii="Arial" w:hAnsi="Arial" w:cs="Arial"/>
          <w:b/>
        </w:rPr>
      </w:pPr>
    </w:p>
    <w:p w:rsidR="00557A63" w:rsidRPr="000C7661" w:rsidRDefault="00557A63" w:rsidP="00557A63">
      <w:pPr>
        <w:spacing w:before="120" w:after="120" w:line="360" w:lineRule="auto"/>
        <w:jc w:val="center"/>
        <w:rPr>
          <w:rFonts w:ascii="Arial" w:hAnsi="Arial" w:cs="Arial"/>
          <w:b/>
        </w:rPr>
      </w:pP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Pr="00557A63">
        <w:rPr>
          <w:rFonts w:ascii="Arial" w:hAnsi="Arial" w:cs="Arial"/>
          <w:color w:val="000000" w:themeColor="text1"/>
          <w:sz w:val="20"/>
          <w:szCs w:val="20"/>
        </w:rPr>
        <w:t>:</w:t>
      </w:r>
      <w:r w:rsidR="00716392" w:rsidRPr="00557A63">
        <w:rPr>
          <w:rFonts w:ascii="Arial" w:hAnsi="Arial" w:cs="Arial"/>
          <w:color w:val="000000" w:themeColor="text1"/>
          <w:sz w:val="20"/>
          <w:szCs w:val="20"/>
        </w:rPr>
        <w:t xml:space="preserve"> IZRK.271.</w:t>
      </w:r>
      <w:r w:rsidR="001270CC">
        <w:rPr>
          <w:rFonts w:ascii="Arial" w:hAnsi="Arial" w:cs="Arial"/>
          <w:color w:val="000000" w:themeColor="text1"/>
          <w:sz w:val="20"/>
          <w:szCs w:val="20"/>
        </w:rPr>
        <w:t>27</w:t>
      </w:r>
      <w:r w:rsidR="00716392" w:rsidRPr="00557A63">
        <w:rPr>
          <w:rFonts w:ascii="Arial" w:hAnsi="Arial" w:cs="Arial"/>
          <w:color w:val="000000" w:themeColor="text1"/>
          <w:sz w:val="20"/>
          <w:szCs w:val="20"/>
        </w:rPr>
        <w:t>.2021</w:t>
      </w:r>
      <w:r w:rsidRPr="00557A63">
        <w:rPr>
          <w:rFonts w:ascii="Arial" w:hAnsi="Arial" w:cs="Arial"/>
          <w:color w:val="000000" w:themeColor="text1"/>
          <w:sz w:val="20"/>
          <w:szCs w:val="20"/>
        </w:rPr>
        <w:t xml:space="preserve"> </w:t>
      </w:r>
    </w:p>
    <w:p w:rsidR="004659A9" w:rsidRPr="00171095" w:rsidRDefault="001270CC" w:rsidP="00171095">
      <w:pPr>
        <w:pStyle w:val="Tytu"/>
        <w:spacing w:before="120" w:after="40" w:line="360" w:lineRule="auto"/>
        <w:rPr>
          <w:rFonts w:ascii="Times New Roman" w:hAnsi="Times New Roman"/>
          <w:caps/>
          <w:sz w:val="24"/>
        </w:rPr>
      </w:pPr>
      <w:r>
        <w:rPr>
          <w:rFonts w:ascii="Times New Roman" w:hAnsi="Times New Roman"/>
          <w:caps/>
          <w:sz w:val="24"/>
        </w:rPr>
        <w:t>Listopad</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615683"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rsidR="00B50DEF" w:rsidRPr="00B50DEF" w:rsidRDefault="00615683"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2307C6">
        <w:br/>
      </w:r>
      <w:r w:rsidR="00A816A6" w:rsidRPr="00171095">
        <w:t xml:space="preserve">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2307C6">
        <w:br/>
      </w:r>
      <w:r w:rsidR="00800EFF" w:rsidRPr="00171095">
        <w:t>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46DA3">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46DA3">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042831" w:rsidRDefault="00171095" w:rsidP="00042831">
      <w:pPr>
        <w:pStyle w:val="pkt"/>
        <w:spacing w:line="360" w:lineRule="auto"/>
        <w:ind w:left="425" w:hanging="426"/>
      </w:pPr>
      <w:r w:rsidRPr="00171095">
        <w:rPr>
          <w:b/>
        </w:rPr>
        <w:t>1.</w:t>
      </w:r>
      <w:r w:rsidRPr="00171095">
        <w:rPr>
          <w:b/>
        </w:rPr>
        <w:tab/>
      </w:r>
      <w:r w:rsidR="001C26EA">
        <w:t>Przedmiotem zamówienia są roboty budowlane polegające na</w:t>
      </w:r>
      <w:r w:rsidR="00F35629">
        <w:t xml:space="preserve"> </w:t>
      </w:r>
      <w:r w:rsidR="00615683">
        <w:t>modernizacji</w:t>
      </w:r>
      <w:r w:rsidR="00F35629">
        <w:t xml:space="preserve"> </w:t>
      </w:r>
      <w:r w:rsidR="00615683">
        <w:t>odcinków dróg</w:t>
      </w:r>
      <w:r w:rsidR="0056177B">
        <w:t xml:space="preserve"> stanowiącej własność Gminy Wiskitki</w:t>
      </w:r>
      <w:r w:rsidR="00615683">
        <w:t xml:space="preserve"> w miejscowości Franciszków – ulica Akacjowa i ulica Dębowa.</w:t>
      </w:r>
      <w:r w:rsidR="0056177B">
        <w:t xml:space="preserve"> </w:t>
      </w:r>
      <w:r w:rsidR="00F35629">
        <w:t>Prace realizowane będą zgodnie z przedmiarem robót</w:t>
      </w:r>
      <w:r w:rsidR="00615683">
        <w:t>.</w:t>
      </w:r>
      <w:r w:rsidR="00F35629">
        <w:t>.</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F92F3B" w:rsidRPr="00F92F3B" w:rsidRDefault="00E766A4" w:rsidP="001959CE">
      <w:pPr>
        <w:pStyle w:val="pkt"/>
        <w:spacing w:line="360" w:lineRule="auto"/>
        <w:ind w:left="425" w:hanging="426"/>
      </w:pPr>
      <w:r w:rsidRPr="00F92F3B">
        <w:tab/>
      </w:r>
      <w:r w:rsidR="001270CC">
        <w:t>45233120</w:t>
      </w:r>
      <w:r w:rsidR="001959CE">
        <w:t>-</w:t>
      </w:r>
      <w:r w:rsidR="001270CC">
        <w:t>6</w:t>
      </w:r>
      <w:r w:rsidR="001959CE">
        <w:t xml:space="preserve"> </w:t>
      </w:r>
      <w:r w:rsidR="00F92F3B" w:rsidRPr="00F92F3B">
        <w:t xml:space="preserve"> </w:t>
      </w:r>
      <w:r w:rsidR="00F92F3B">
        <w:t xml:space="preserve">Roboty w zakresie </w:t>
      </w:r>
      <w:r w:rsidR="001270CC">
        <w:t xml:space="preserve">budowy </w:t>
      </w:r>
      <w:r w:rsidR="001959CE">
        <w:t>dróg.</w:t>
      </w:r>
    </w:p>
    <w:p w:rsidR="001A561B" w:rsidRDefault="001C26EA" w:rsidP="00042831">
      <w:pPr>
        <w:pStyle w:val="pkt"/>
        <w:spacing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rsidR="00615683" w:rsidRDefault="00615683" w:rsidP="001A561B">
      <w:pPr>
        <w:pStyle w:val="pkt"/>
        <w:spacing w:before="0" w:after="0" w:line="360" w:lineRule="auto"/>
        <w:ind w:left="425" w:hanging="426"/>
      </w:pPr>
    </w:p>
    <w:p w:rsidR="00615683" w:rsidRDefault="00615683" w:rsidP="001A561B">
      <w:pPr>
        <w:pStyle w:val="pkt"/>
        <w:spacing w:before="0" w:after="0" w:line="360" w:lineRule="auto"/>
        <w:ind w:left="425" w:hanging="426"/>
      </w:pPr>
    </w:p>
    <w:p w:rsidR="006204E8" w:rsidRPr="00171095" w:rsidRDefault="00171095" w:rsidP="00C4508B">
      <w:pPr>
        <w:pStyle w:val="NagwekSWZ"/>
      </w:pPr>
      <w:r w:rsidRPr="00171095">
        <w:lastRenderedPageBreak/>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34DB3">
        <w:br/>
      </w:r>
      <w:r w:rsidR="006204E8" w:rsidRPr="00171095">
        <w:t xml:space="preserve">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C34DB3">
        <w:t xml:space="preserve"> mu znane</w:t>
      </w:r>
      <w:r w:rsidR="00582C38" w:rsidRPr="00171095">
        <w:t xml:space="preserv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446DA3" w:rsidRDefault="00171095" w:rsidP="00D01D95">
      <w:pPr>
        <w:pStyle w:val="pkt"/>
        <w:spacing w:before="240" w:after="0" w:line="360" w:lineRule="auto"/>
        <w:ind w:left="426" w:hanging="426"/>
        <w:rPr>
          <w:b/>
        </w:rPr>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446DA3">
        <w:rPr>
          <w:b/>
        </w:rPr>
        <w:t xml:space="preserve">: </w:t>
      </w:r>
      <w:r w:rsidR="001270CC">
        <w:rPr>
          <w:b/>
          <w:color w:val="000000" w:themeColor="text1"/>
        </w:rPr>
        <w:t>13 grudnia</w:t>
      </w:r>
      <w:r w:rsidR="001A561B" w:rsidRPr="00446DA3">
        <w:rPr>
          <w:b/>
          <w:color w:val="000000" w:themeColor="text1"/>
        </w:rPr>
        <w:t xml:space="preserve"> 2021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w:t>
      </w:r>
      <w:r w:rsidR="00446DA3">
        <w:br/>
      </w:r>
      <w:r w:rsidR="006204E8" w:rsidRPr="00171095">
        <w:t xml:space="preserve">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E766A4">
        <w:rPr>
          <w:rFonts w:ascii="Times New Roman" w:hAnsi="Times New Roman" w:cs="Times New Roman"/>
          <w:sz w:val="24"/>
          <w:szCs w:val="20"/>
          <w:lang w:val="pl-PL"/>
        </w:rPr>
        <w:t>250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F92F3B">
        <w:rPr>
          <w:rFonts w:ascii="Times New Roman" w:hAnsi="Times New Roman" w:cs="Times New Roman"/>
          <w:sz w:val="24"/>
          <w:szCs w:val="20"/>
          <w:lang w:val="pl-PL"/>
        </w:rPr>
        <w:t xml:space="preserve">budowie lub przebudowie dróg wewnętrznych lub dróg publicznych, przy czym każde takie świadczenie powinno swoim zakresem obejmować roboty budowlane na obszarze co najmniej 300 metrów z wykorzystaniem </w:t>
      </w:r>
      <w:r w:rsidR="00EA3121">
        <w:rPr>
          <w:rFonts w:ascii="Times New Roman" w:hAnsi="Times New Roman" w:cs="Times New Roman"/>
          <w:sz w:val="24"/>
          <w:szCs w:val="20"/>
          <w:lang w:val="pl-PL"/>
        </w:rPr>
        <w:t>warstwy ścieralnej oraz warstwy wiążącej z betonu asfaltowego</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C34DB3">
        <w:t>etapie postępowania</w:t>
      </w:r>
      <w:r w:rsidR="00751997" w:rsidRPr="00171095">
        <w:t xml:space="preserve"> uznać, </w:t>
      </w:r>
      <w:r w:rsidR="00505F53" w:rsidRPr="00171095">
        <w:t xml:space="preserve">że wykonawca nie posiada wymaganych zdolności, jeżeli posiadanie przez wykonawcę sprzecznych interesów, </w:t>
      </w:r>
      <w:r w:rsidR="00C34DB3">
        <w:br/>
      </w:r>
      <w:r w:rsidR="00505F53" w:rsidRPr="00171095">
        <w:t xml:space="preserve">w szczególności zaangażowanie zasobów technicznych lub zawodowych wykonawcy </w:t>
      </w:r>
      <w:r w:rsidR="00C34DB3">
        <w:br/>
      </w:r>
      <w:r w:rsidR="00505F53" w:rsidRPr="00171095">
        <w:t>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00413BD0" w:rsidRPr="00171095">
        <w:rPr>
          <w:bCs/>
          <w:kern w:val="32"/>
        </w:rPr>
        <w:lastRenderedPageBreak/>
        <w:t>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705C42">
        <w:br/>
      </w:r>
      <w:r w:rsidR="00881CE8" w:rsidRPr="00171095">
        <w:t>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w:t>
      </w:r>
      <w:r w:rsidR="00BE17E8" w:rsidRPr="00171095">
        <w:lastRenderedPageBreak/>
        <w:t xml:space="preserve">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705C42">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705C42">
        <w:rPr>
          <w:szCs w:val="20"/>
        </w:rPr>
        <w:br/>
      </w:r>
      <w:r w:rsidR="000F4F5C" w:rsidRPr="00171095">
        <w:rPr>
          <w:szCs w:val="20"/>
        </w:rPr>
        <w:t xml:space="preserve">z przepisami prawa budowlanego i prawidłowo ukończone, przy czym dowodami, </w:t>
      </w:r>
      <w:r w:rsidR="00705C42">
        <w:rPr>
          <w:szCs w:val="20"/>
        </w:rPr>
        <w:br/>
      </w:r>
      <w:r w:rsidR="000F4F5C" w:rsidRPr="00171095">
        <w:rPr>
          <w:szCs w:val="20"/>
        </w:rPr>
        <w:t xml:space="preserve">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w:t>
      </w:r>
      <w:r w:rsidR="0070502E" w:rsidRPr="00171095">
        <w:lastRenderedPageBreak/>
        <w:t>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705C42">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705C42">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8108D8">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615683" w:rsidRDefault="00615683" w:rsidP="0019688F">
      <w:pPr>
        <w:pStyle w:val="pkt"/>
        <w:spacing w:before="0" w:after="0" w:line="360" w:lineRule="auto"/>
        <w:ind w:left="426" w:hanging="426"/>
      </w:pPr>
    </w:p>
    <w:p w:rsidR="00615683" w:rsidRDefault="00615683" w:rsidP="0019688F">
      <w:pPr>
        <w:pStyle w:val="pkt"/>
        <w:spacing w:before="0" w:after="0" w:line="360" w:lineRule="auto"/>
        <w:ind w:left="426" w:hanging="426"/>
      </w:pPr>
    </w:p>
    <w:p w:rsidR="00615683" w:rsidRPr="00171095" w:rsidRDefault="00615683" w:rsidP="0019688F">
      <w:pPr>
        <w:pStyle w:val="pkt"/>
        <w:spacing w:before="0" w:after="0" w:line="360" w:lineRule="auto"/>
        <w:ind w:left="426" w:hanging="426"/>
      </w:pPr>
    </w:p>
    <w:p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8108D8">
        <w:br/>
      </w:r>
      <w:r w:rsidR="002272B0" w:rsidRPr="00171095">
        <w:t>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8108D8">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lastRenderedPageBreak/>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8108D8">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89327E">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89327E">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w:t>
      </w:r>
      <w:r w:rsidR="0025493A" w:rsidRPr="00171095">
        <w:rPr>
          <w:bCs/>
        </w:rPr>
        <w:lastRenderedPageBreak/>
        <w:t>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w:t>
      </w:r>
      <w:r w:rsidR="00312498">
        <w:rPr>
          <w:rFonts w:eastAsia="Times New Roman"/>
          <w:szCs w:val="19"/>
        </w:rPr>
        <w:t xml:space="preserve">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E84ECA">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4ECA">
        <w:rPr>
          <w:rFonts w:eastAsia="Times New Roman"/>
          <w:szCs w:val="19"/>
        </w:rPr>
        <w:br/>
      </w:r>
      <w:r w:rsidRPr="0074518B">
        <w:rPr>
          <w:rFonts w:eastAsia="Times New Roman"/>
          <w:szCs w:val="19"/>
        </w:rPr>
        <w:t xml:space="preserve">w przedmiotowym postępowaniu ponieważ nie został spełniony obowiązek narzucony </w:t>
      </w:r>
      <w:r w:rsidR="00E84ECA">
        <w:rPr>
          <w:rFonts w:eastAsia="Times New Roman"/>
          <w:szCs w:val="19"/>
        </w:rPr>
        <w:br/>
      </w:r>
      <w:r w:rsidRPr="0074518B">
        <w:rPr>
          <w:rFonts w:eastAsia="Times New Roman"/>
          <w:szCs w:val="19"/>
        </w:rPr>
        <w:t>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E84ECA">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E259BF" w:rsidP="0074518B">
      <w:pPr>
        <w:pStyle w:val="Akapitzlist"/>
        <w:spacing w:line="360" w:lineRule="auto"/>
        <w:ind w:left="709" w:right="92"/>
        <w:jc w:val="both"/>
        <w:rPr>
          <w:szCs w:val="20"/>
        </w:rPr>
      </w:pPr>
      <w:r>
        <w:rPr>
          <w:szCs w:val="20"/>
        </w:rPr>
        <w:t>Błażej Zawadzki</w:t>
      </w:r>
      <w:r w:rsidR="0074518B" w:rsidRPr="00171095">
        <w:rPr>
          <w:szCs w:val="20"/>
        </w:rPr>
        <w:t xml:space="preserve">, tel. </w:t>
      </w:r>
      <w:r w:rsidR="0074518B">
        <w:rPr>
          <w:szCs w:val="20"/>
        </w:rPr>
        <w:t xml:space="preserve">46 854 50 </w:t>
      </w:r>
      <w:r>
        <w:rPr>
          <w:szCs w:val="20"/>
        </w:rPr>
        <w:t>26</w:t>
      </w:r>
      <w:r w:rsidR="0074518B"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E84ECA">
        <w:br/>
      </w:r>
      <w:r w:rsidR="00371F60" w:rsidRPr="00171095">
        <w:t>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t>
      </w:r>
      <w:r w:rsidR="00371F60" w:rsidRPr="00171095">
        <w:lastRenderedPageBreak/>
        <w:t xml:space="preserve">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 xml:space="preserve">T ORAZ WYMAGANIA FORMALNE DOTYCZĄCE SKŁADANYCH OŚWIADCZEŃ </w:t>
      </w:r>
      <w:r w:rsidR="00E84ECA">
        <w:br/>
      </w:r>
      <w:r w:rsidR="00641EB7" w:rsidRPr="00171095">
        <w:t>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733FB9">
        <w:rPr>
          <w:rFonts w:eastAsia="Times New Roman"/>
        </w:rPr>
        <w:br/>
      </w:r>
      <w:r w:rsidR="00A16ADB" w:rsidRPr="00171095">
        <w:rPr>
          <w:rFonts w:eastAsia="Times New Roman"/>
        </w:rPr>
        <w:t>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733FB9">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733FB9">
        <w:br/>
      </w:r>
      <w:r w:rsidR="00CC38C5" w:rsidRPr="00171095">
        <w:t xml:space="preserve">i wyczerpującą wszelkie należności Wykonawcy wobec Zamawiającego związane </w:t>
      </w:r>
      <w:r w:rsidR="00733FB9">
        <w:br/>
      </w:r>
      <w:r w:rsidR="00CC38C5" w:rsidRPr="00171095">
        <w:t>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xml:space="preserve">), dla celów zastosowania kryterium ceny lub </w:t>
      </w:r>
      <w:r w:rsidR="00166665" w:rsidRPr="00171095">
        <w:lastRenderedPageBreak/>
        <w:t>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1270CC">
        <w:t>2 0</w:t>
      </w:r>
      <w:r w:rsidR="00976AD0">
        <w:t>00,00</w:t>
      </w:r>
      <w:r w:rsidR="00DF7F86">
        <w:t xml:space="preserve"> zł</w:t>
      </w:r>
      <w:r w:rsidR="006204E8" w:rsidRPr="00171095">
        <w:t xml:space="preserve"> </w:t>
      </w:r>
      <w:r w:rsidR="003E42FE" w:rsidRPr="00171095">
        <w:t xml:space="preserve">(słownie: </w:t>
      </w:r>
      <w:r w:rsidR="00615683">
        <w:t>dwa tysiące</w:t>
      </w:r>
      <w:r w:rsidR="00DF7F86">
        <w:t>,</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w:t>
      </w:r>
      <w:r w:rsidR="00446DA3">
        <w:br/>
      </w:r>
      <w:r w:rsidR="00DF7F86">
        <w:t xml:space="preserve">–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225BA6">
        <w:rPr>
          <w:szCs w:val="20"/>
        </w:rPr>
        <w:br/>
      </w:r>
      <w:r>
        <w:rPr>
          <w:szCs w:val="20"/>
        </w:rPr>
        <w:t>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225BA6">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w:t>
      </w:r>
      <w:r w:rsidR="00225BA6">
        <w:t>,</w:t>
      </w:r>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615683">
        <w:t>19 grudnia</w:t>
      </w:r>
      <w:r w:rsidR="00C72867">
        <w:t xml:space="preserve"> 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615683">
        <w:t xml:space="preserve">uższy niż 30 dni. </w:t>
      </w:r>
      <w:r w:rsidR="00615683">
        <w:tab/>
        <w:t xml:space="preserve">Przedłużenie </w:t>
      </w:r>
      <w:r w:rsidR="006204E8" w:rsidRPr="00171095">
        <w:t xml:space="preserve">terminu </w:t>
      </w:r>
      <w:r w:rsidR="006204E8" w:rsidRPr="00171095">
        <w:lastRenderedPageBreak/>
        <w:t xml:space="preserve">związania ofertą wymaga złożenia przez wykonawcę pisemnego oświadczenia </w:t>
      </w:r>
      <w:r w:rsidR="00225BA6">
        <w:br/>
      </w:r>
      <w:r w:rsidR="006204E8" w:rsidRPr="00171095">
        <w:t>o wyrażeniu zgody na przedłużenie terminu związania ofertą.</w:t>
      </w:r>
    </w:p>
    <w:p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1270CC">
        <w:rPr>
          <w:b/>
        </w:rPr>
        <w:t>19 listopada</w:t>
      </w:r>
      <w:r w:rsidR="00C72867">
        <w:rPr>
          <w:b/>
        </w:rPr>
        <w:t xml:space="preserve">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w:t>
      </w:r>
      <w:r w:rsidR="00115F5C" w:rsidRPr="00EA3121">
        <w:rPr>
          <w:b/>
        </w:rPr>
        <w:t xml:space="preserve"> </w:t>
      </w:r>
      <w:r w:rsidR="001270CC">
        <w:rPr>
          <w:b/>
        </w:rPr>
        <w:t>19</w:t>
      </w:r>
      <w:r w:rsidR="00E259BF">
        <w:rPr>
          <w:b/>
        </w:rPr>
        <w:t xml:space="preserve"> </w:t>
      </w:r>
      <w:r w:rsidR="001270CC">
        <w:rPr>
          <w:b/>
        </w:rPr>
        <w:t>listopada</w:t>
      </w:r>
      <w:r w:rsidR="00C72867">
        <w:rPr>
          <w:b/>
        </w:rPr>
        <w:t xml:space="preserve"> 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585E02">
        <w:br/>
      </w:r>
      <w:r w:rsidR="00407499" w:rsidRPr="00171095">
        <w:t>w celu ulepszenia treści ofert.</w:t>
      </w:r>
    </w:p>
    <w:p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 xml:space="preserve">Żadna ze stron nie może, bez zgody drugiej strony, ujawniać informacji technicznych i handlowych związanych </w:t>
      </w:r>
      <w:r w:rsidR="00585E02">
        <w:br/>
      </w:r>
      <w:r w:rsidR="00FD7C82" w:rsidRPr="00171095">
        <w:t>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w:t>
      </w:r>
      <w:r w:rsidR="00585E02">
        <w:t xml:space="preserve">którym mowa w ust. 1, jeżeli w </w:t>
      </w:r>
      <w:r w:rsidR="00EC2888" w:rsidRPr="00171095">
        <w:t>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585E02">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B215B9">
      <w:pPr>
        <w:pStyle w:val="Akapitzlist"/>
        <w:numPr>
          <w:ilvl w:val="0"/>
          <w:numId w:val="23"/>
        </w:numPr>
        <w:spacing w:line="360" w:lineRule="auto"/>
        <w:jc w:val="both"/>
        <w:rPr>
          <w:szCs w:val="20"/>
        </w:rPr>
      </w:pPr>
      <w:r w:rsidRPr="00383FED">
        <w:rPr>
          <w:szCs w:val="20"/>
        </w:rPr>
        <w:t>gwarancjach bankowych,</w:t>
      </w:r>
    </w:p>
    <w:p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rsidR="00383FED" w:rsidRDefault="00383FED" w:rsidP="00B215B9">
      <w:pPr>
        <w:pStyle w:val="Akapitzlist"/>
        <w:numPr>
          <w:ilvl w:val="0"/>
          <w:numId w:val="23"/>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B215B9">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0D31F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615683" w:rsidP="00171095">
            <w:pPr>
              <w:suppressAutoHyphens/>
              <w:spacing w:line="360" w:lineRule="auto"/>
              <w:rPr>
                <w:sz w:val="24"/>
              </w:rPr>
            </w:pPr>
            <w:r>
              <w:rPr>
                <w:sz w:val="24"/>
              </w:rPr>
              <w:t>P</w:t>
            </w:r>
            <w:bookmarkStart w:id="3" w:name="_GoBack"/>
            <w:bookmarkEnd w:id="3"/>
            <w:r w:rsidR="002829CC">
              <w:rPr>
                <w:sz w:val="24"/>
              </w:rPr>
              <w:t>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3F" w:rsidRDefault="00153B3F">
      <w:r>
        <w:separator/>
      </w:r>
    </w:p>
  </w:endnote>
  <w:endnote w:type="continuationSeparator" w:id="0">
    <w:p w:rsidR="00153B3F" w:rsidRDefault="001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615683">
      <w:rPr>
        <w:rFonts w:ascii="Times New Roman" w:hAnsi="Times New Roman"/>
        <w:noProof/>
        <w:sz w:val="16"/>
      </w:rPr>
      <w:t>25</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3F" w:rsidRDefault="00153B3F">
      <w:r>
        <w:separator/>
      </w:r>
    </w:p>
  </w:footnote>
  <w:footnote w:type="continuationSeparator" w:id="0">
    <w:p w:rsidR="00153B3F" w:rsidRDefault="0015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7"/>
  </w:num>
  <w:num w:numId="14">
    <w:abstractNumId w:val="12"/>
  </w:num>
  <w:num w:numId="15">
    <w:abstractNumId w:val="16"/>
  </w:num>
  <w:num w:numId="16">
    <w:abstractNumId w:val="15"/>
  </w:num>
  <w:num w:numId="17">
    <w:abstractNumId w:val="14"/>
    <w:lvlOverride w:ilvl="0">
      <w:startOverride w:val="1"/>
    </w:lvlOverride>
  </w:num>
  <w:num w:numId="18">
    <w:abstractNumId w:val="11"/>
    <w:lvlOverride w:ilvl="0">
      <w:startOverride w:val="1"/>
    </w:lvlOverride>
  </w:num>
  <w:num w:numId="19">
    <w:abstractNumId w:val="10"/>
  </w:num>
  <w:num w:numId="20">
    <w:abstractNumId w:val="18"/>
  </w:num>
  <w:num w:numId="21">
    <w:abstractNumId w:val="9"/>
  </w:num>
  <w:num w:numId="22">
    <w:abstractNumId w:val="8"/>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31FA"/>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0CC"/>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59CE"/>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36E"/>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5BA6"/>
    <w:rsid w:val="00226C84"/>
    <w:rsid w:val="002272B0"/>
    <w:rsid w:val="002307A6"/>
    <w:rsid w:val="002307C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249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1A6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6DA3"/>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57A63"/>
    <w:rsid w:val="005613E7"/>
    <w:rsid w:val="0056177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5E02"/>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68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42"/>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3FB9"/>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B7CDB"/>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2E7"/>
    <w:rsid w:val="00804A12"/>
    <w:rsid w:val="00805351"/>
    <w:rsid w:val="0080620A"/>
    <w:rsid w:val="00807141"/>
    <w:rsid w:val="008108D8"/>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27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21FF"/>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075F"/>
    <w:rsid w:val="00B11876"/>
    <w:rsid w:val="00B11FD6"/>
    <w:rsid w:val="00B155A9"/>
    <w:rsid w:val="00B15D85"/>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D0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6A4"/>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B3"/>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95D"/>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788"/>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9BF"/>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47C4E"/>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4ECA"/>
    <w:rsid w:val="00E859D0"/>
    <w:rsid w:val="00E87622"/>
    <w:rsid w:val="00E90539"/>
    <w:rsid w:val="00E9185F"/>
    <w:rsid w:val="00E92219"/>
    <w:rsid w:val="00E93362"/>
    <w:rsid w:val="00E934BC"/>
    <w:rsid w:val="00E95D90"/>
    <w:rsid w:val="00EA0C2A"/>
    <w:rsid w:val="00EA19CD"/>
    <w:rsid w:val="00EA1A05"/>
    <w:rsid w:val="00EA3121"/>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62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69EA"/>
    <w:rsid w:val="00F80EC7"/>
    <w:rsid w:val="00F8117E"/>
    <w:rsid w:val="00F82107"/>
    <w:rsid w:val="00F83806"/>
    <w:rsid w:val="00F87442"/>
    <w:rsid w:val="00F90BE8"/>
    <w:rsid w:val="00F92ED9"/>
    <w:rsid w:val="00F92F3B"/>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40292189">
      <w:bodyDiv w:val="1"/>
      <w:marLeft w:val="0"/>
      <w:marRight w:val="0"/>
      <w:marTop w:val="0"/>
      <w:marBottom w:val="0"/>
      <w:divBdr>
        <w:top w:val="none" w:sz="0" w:space="0" w:color="auto"/>
        <w:left w:val="none" w:sz="0" w:space="0" w:color="auto"/>
        <w:bottom w:val="none" w:sz="0" w:space="0" w:color="auto"/>
        <w:right w:val="none" w:sz="0" w:space="0" w:color="auto"/>
      </w:divBdr>
      <w:divsChild>
        <w:div w:id="2033799540">
          <w:marLeft w:val="0"/>
          <w:marRight w:val="0"/>
          <w:marTop w:val="0"/>
          <w:marBottom w:val="0"/>
          <w:divBdr>
            <w:top w:val="none" w:sz="0" w:space="0" w:color="auto"/>
            <w:left w:val="none" w:sz="0" w:space="0" w:color="auto"/>
            <w:bottom w:val="none" w:sz="0" w:space="0" w:color="auto"/>
            <w:right w:val="none" w:sz="0" w:space="0" w:color="auto"/>
          </w:divBdr>
        </w:div>
        <w:div w:id="1559390853">
          <w:marLeft w:val="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72173040">
          <w:marLeft w:val="0"/>
          <w:marRight w:val="0"/>
          <w:marTop w:val="0"/>
          <w:marBottom w:val="0"/>
          <w:divBdr>
            <w:top w:val="none" w:sz="0" w:space="0" w:color="auto"/>
            <w:left w:val="none" w:sz="0" w:space="0" w:color="auto"/>
            <w:bottom w:val="none" w:sz="0" w:space="0" w:color="auto"/>
            <w:right w:val="none" w:sz="0" w:space="0" w:color="auto"/>
          </w:divBdr>
        </w:div>
        <w:div w:id="90056445">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619069540">
      <w:bodyDiv w:val="1"/>
      <w:marLeft w:val="0"/>
      <w:marRight w:val="0"/>
      <w:marTop w:val="0"/>
      <w:marBottom w:val="0"/>
      <w:divBdr>
        <w:top w:val="none" w:sz="0" w:space="0" w:color="auto"/>
        <w:left w:val="none" w:sz="0" w:space="0" w:color="auto"/>
        <w:bottom w:val="none" w:sz="0" w:space="0" w:color="auto"/>
        <w:right w:val="none" w:sz="0" w:space="0" w:color="auto"/>
      </w:divBdr>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skitki.bip.net.pl/?c=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skitki" TargetMode="External"/><Relationship Id="rId5" Type="http://schemas.openxmlformats.org/officeDocument/2006/relationships/settings" Target="settings.xml"/><Relationship Id="rId15" Type="http://schemas.openxmlformats.org/officeDocument/2006/relationships/hyperlink" Target="https://platformazakupowa.pl/pn/wiskitk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A7C0-2FCC-47F9-99F7-910B4CE1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6396</Words>
  <Characters>40917</Characters>
  <Application>Microsoft Office Word</Application>
  <DocSecurity>0</DocSecurity>
  <Lines>340</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19</cp:revision>
  <cp:lastPrinted>2021-08-05T08:45:00Z</cp:lastPrinted>
  <dcterms:created xsi:type="dcterms:W3CDTF">2021-06-10T13:24:00Z</dcterms:created>
  <dcterms:modified xsi:type="dcterms:W3CDTF">2021-11-04T12:13:00Z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