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784B9FF7" w14:textId="38DAF259" w:rsidR="002466FE" w:rsidRDefault="002466FE" w:rsidP="00FC1A63">
      <w:pPr>
        <w:spacing w:line="276" w:lineRule="auto"/>
        <w:ind w:right="-1" w:firstLine="540"/>
        <w:jc w:val="center"/>
        <w:rPr>
          <w:rFonts w:ascii="Century Gothic" w:hAnsi="Century Gothic"/>
          <w:b/>
          <w:sz w:val="22"/>
        </w:rPr>
      </w:pP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4E03CACA" w:rsidR="00330E4F" w:rsidRDefault="0093677A" w:rsidP="00A93CE0">
      <w:pPr>
        <w:spacing w:line="276" w:lineRule="auto"/>
        <w:ind w:right="-1" w:firstLine="540"/>
        <w:jc w:val="center"/>
        <w:rPr>
          <w:rFonts w:ascii="Century Gothic" w:hAnsi="Century Gothic"/>
          <w:b/>
          <w:sz w:val="22"/>
        </w:rPr>
      </w:pPr>
      <w:r>
        <w:rPr>
          <w:noProof/>
        </w:rPr>
        <w:drawing>
          <wp:inline distT="0" distB="0" distL="0" distR="0" wp14:anchorId="028795E8" wp14:editId="59C6C6CA">
            <wp:extent cx="5760720" cy="792393"/>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F4D71B3"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23</w:t>
      </w:r>
      <w:r w:rsidR="00602A87" w:rsidRPr="000012B2">
        <w:rPr>
          <w:rFonts w:ascii="Arial" w:hAnsi="Arial" w:cs="Arial"/>
          <w:sz w:val="20"/>
          <w:szCs w:val="20"/>
        </w:rPr>
        <w:t>.1</w:t>
      </w:r>
      <w:r w:rsidR="00A335F2">
        <w:rPr>
          <w:rFonts w:ascii="Arial" w:hAnsi="Arial" w:cs="Arial"/>
          <w:sz w:val="20"/>
          <w:szCs w:val="20"/>
        </w:rPr>
        <w:t>605</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46F90FE5"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bookmarkStart w:id="0" w:name="_Hlk180484532"/>
      <w:r w:rsidR="0096051B" w:rsidRPr="00DA6F62">
        <w:rPr>
          <w:b/>
          <w:sz w:val="22"/>
          <w:szCs w:val="22"/>
        </w:rPr>
        <w:t>DOSTAWA GOGLI VR ORAZ DROBNYCH PODZESPOŁÓW ELEKTRONICZNYCH</w:t>
      </w:r>
      <w:bookmarkEnd w:id="0"/>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2DE805C6"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650E04">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513F64">
        <w:rPr>
          <w:rFonts w:ascii="Calibri" w:hAnsi="Calibri" w:cs="Calibri Light"/>
          <w:caps/>
        </w:rPr>
        <w:t>84</w:t>
      </w:r>
      <w:r w:rsidR="0096051B">
        <w:rPr>
          <w:rFonts w:ascii="Calibri" w:hAnsi="Calibri" w:cs="Calibri Light"/>
          <w:caps/>
        </w:rPr>
        <w:t>/</w:t>
      </w:r>
      <w:r w:rsidR="00085F42">
        <w:rPr>
          <w:rFonts w:ascii="Calibri" w:hAnsi="Calibri" w:cs="Calibri Light"/>
          <w:caps/>
        </w:rPr>
        <w:t>202</w:t>
      </w:r>
      <w:r w:rsidR="00330E4F">
        <w:rPr>
          <w:rFonts w:ascii="Calibri" w:hAnsi="Calibri" w:cs="Calibri Light"/>
          <w:caps/>
        </w:rPr>
        <w:t>4</w:t>
      </w:r>
    </w:p>
    <w:p w14:paraId="3B001BCA" w14:textId="1BF455F5"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513F64">
        <w:rPr>
          <w:rFonts w:ascii="Calibri" w:hAnsi="Calibri"/>
          <w:szCs w:val="22"/>
        </w:rPr>
        <w:t>1</w:t>
      </w:r>
      <w:r w:rsidR="00876622">
        <w:rPr>
          <w:rFonts w:ascii="Calibri" w:hAnsi="Calibri"/>
          <w:szCs w:val="22"/>
        </w:rPr>
        <w:t>0</w:t>
      </w:r>
      <w:r w:rsidR="00085F42">
        <w:rPr>
          <w:rFonts w:ascii="Calibri" w:hAnsi="Calibri"/>
          <w:szCs w:val="22"/>
        </w:rPr>
        <w:t>.</w:t>
      </w:r>
      <w:r w:rsidR="007C1B09">
        <w:rPr>
          <w:rFonts w:ascii="Calibri" w:hAnsi="Calibri"/>
          <w:szCs w:val="22"/>
        </w:rPr>
        <w:t>1</w:t>
      </w:r>
      <w:r w:rsidR="00513F64">
        <w:rPr>
          <w:rFonts w:ascii="Calibri" w:hAnsi="Calibri"/>
          <w:szCs w:val="22"/>
        </w:rPr>
        <w:t>2</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23D40E04" w:rsidR="006E0682" w:rsidRPr="00470B73" w:rsidRDefault="00E04A0C" w:rsidP="006E0682">
      <w:pPr>
        <w:pStyle w:val="Akapitzlist"/>
        <w:numPr>
          <w:ilvl w:val="0"/>
          <w:numId w:val="20"/>
        </w:numPr>
        <w:tabs>
          <w:tab w:val="clear" w:pos="595"/>
        </w:tabs>
        <w:spacing w:before="240" w:line="360" w:lineRule="auto"/>
        <w:ind w:left="434" w:hanging="434"/>
        <w:jc w:val="both"/>
        <w:rPr>
          <w:rFonts w:asciiTheme="majorHAnsi" w:hAnsiTheme="majorHAnsi" w:cstheme="majorHAnsi"/>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dos</w:t>
      </w:r>
      <w:r w:rsidR="006E0682" w:rsidRPr="007162B7">
        <w:rPr>
          <w:rFonts w:asciiTheme="majorHAnsi" w:hAnsiTheme="majorHAnsi" w:cstheme="majorHAnsi"/>
          <w:sz w:val="22"/>
          <w:szCs w:val="22"/>
        </w:rPr>
        <w:t xml:space="preserve">tawa </w:t>
      </w:r>
      <w:r w:rsidR="00A063AD" w:rsidRPr="00DA6F62">
        <w:rPr>
          <w:b/>
          <w:sz w:val="22"/>
          <w:szCs w:val="22"/>
        </w:rPr>
        <w:t>GOGLI VR,</w:t>
      </w:r>
      <w:r w:rsidR="002C65D1">
        <w:rPr>
          <w:b/>
          <w:sz w:val="22"/>
          <w:szCs w:val="22"/>
        </w:rPr>
        <w:t xml:space="preserve"> </w:t>
      </w:r>
      <w:r w:rsidR="00A063AD" w:rsidRPr="00DA6F62">
        <w:rPr>
          <w:b/>
          <w:sz w:val="22"/>
          <w:szCs w:val="22"/>
        </w:rPr>
        <w:t>DROBNYCH PODZESPOŁÓW ELEKTRONICZNYCH</w:t>
      </w:r>
      <w:r w:rsidR="00470B73" w:rsidRPr="00470B73">
        <w:rPr>
          <w:rFonts w:asciiTheme="majorHAnsi" w:hAnsiTheme="majorHAnsi" w:cstheme="majorHAnsi"/>
          <w:color w:val="222222"/>
          <w:sz w:val="22"/>
          <w:szCs w:val="22"/>
          <w:shd w:val="clear" w:color="auto" w:fill="FFFFFF"/>
        </w:rPr>
        <w:t> </w:t>
      </w:r>
      <w:r w:rsidR="006E0682" w:rsidRPr="00470B73">
        <w:rPr>
          <w:rFonts w:asciiTheme="majorHAnsi" w:hAnsiTheme="majorHAnsi" w:cstheme="majorHAnsi"/>
          <w:sz w:val="22"/>
          <w:szCs w:val="22"/>
        </w:rPr>
        <w:t xml:space="preserve"> </w:t>
      </w:r>
      <w:r w:rsidR="007162B7" w:rsidRPr="00470B73">
        <w:rPr>
          <w:rFonts w:asciiTheme="majorHAnsi" w:hAnsiTheme="majorHAnsi" w:cstheme="majorHAnsi"/>
          <w:sz w:val="22"/>
          <w:szCs w:val="22"/>
        </w:rPr>
        <w:t>na</w:t>
      </w:r>
      <w:r w:rsidR="006E0682" w:rsidRPr="00470B73">
        <w:rPr>
          <w:rFonts w:asciiTheme="majorHAnsi" w:hAnsiTheme="majorHAnsi" w:cstheme="majorHAnsi"/>
          <w:sz w:val="22"/>
          <w:szCs w:val="22"/>
        </w:rPr>
        <w:t xml:space="preserve"> warunkach projektu umowy przedstawionego w załączniku nr </w:t>
      </w:r>
      <w:r w:rsidR="007162B7" w:rsidRPr="00470B73">
        <w:rPr>
          <w:rFonts w:asciiTheme="majorHAnsi" w:hAnsiTheme="majorHAnsi" w:cstheme="majorHAnsi"/>
          <w:sz w:val="22"/>
          <w:szCs w:val="22"/>
        </w:rPr>
        <w:t>3</w:t>
      </w:r>
      <w:r w:rsidR="006E0682" w:rsidRPr="00470B73">
        <w:rPr>
          <w:rFonts w:asciiTheme="majorHAnsi" w:hAnsiTheme="majorHAnsi" w:cstheme="majorHAnsi"/>
          <w:sz w:val="22"/>
          <w:szCs w:val="22"/>
        </w:rPr>
        <w:t xml:space="preserve"> .</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4166D37E" w:rsidR="006E0682" w:rsidRPr="00786BA0" w:rsidRDefault="00A063AD" w:rsidP="006E0682">
      <w:pPr>
        <w:pStyle w:val="Akapitzlist"/>
        <w:spacing w:line="360" w:lineRule="auto"/>
        <w:ind w:left="595"/>
        <w:jc w:val="both"/>
        <w:rPr>
          <w:rFonts w:asciiTheme="majorHAnsi" w:hAnsiTheme="majorHAnsi"/>
          <w:sz w:val="22"/>
          <w:szCs w:val="22"/>
        </w:rPr>
      </w:pPr>
      <w:r w:rsidRPr="00786BA0">
        <w:rPr>
          <w:rFonts w:asciiTheme="majorHAnsi" w:hAnsiTheme="majorHAnsi"/>
          <w:sz w:val="22"/>
          <w:szCs w:val="22"/>
        </w:rPr>
        <w:t>33120000-7</w:t>
      </w:r>
    </w:p>
    <w:p w14:paraId="1EC0949A" w14:textId="33BC089C" w:rsidR="00786BA0" w:rsidRPr="00786BA0" w:rsidRDefault="00786BA0" w:rsidP="006E0682">
      <w:pPr>
        <w:pStyle w:val="Akapitzlist"/>
        <w:spacing w:line="360" w:lineRule="auto"/>
        <w:ind w:left="595"/>
        <w:jc w:val="both"/>
        <w:rPr>
          <w:rFonts w:asciiTheme="majorHAnsi" w:hAnsiTheme="majorHAnsi" w:cs="Calibri Light"/>
          <w:sz w:val="22"/>
          <w:szCs w:val="22"/>
        </w:rPr>
      </w:pPr>
      <w:r w:rsidRPr="00786BA0">
        <w:rPr>
          <w:rFonts w:asciiTheme="majorHAnsi" w:hAnsiTheme="majorHAnsi" w:cs="Calibri Light"/>
          <w:sz w:val="22"/>
          <w:szCs w:val="22"/>
        </w:rPr>
        <w:t>31711000-3</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1DB01229" w14:textId="40656761" w:rsidR="00A063AD" w:rsidRPr="00A063AD" w:rsidRDefault="00C23AD8" w:rsidP="00A063AD">
      <w:pPr>
        <w:tabs>
          <w:tab w:val="left" w:pos="284"/>
        </w:tabs>
        <w:spacing w:after="200" w:line="276" w:lineRule="auto"/>
        <w:jc w:val="both"/>
        <w:rPr>
          <w:rFonts w:ascii="Book Antiqua" w:hAnsi="Book Antiqua" w:cs="Calibri"/>
          <w:bCs/>
          <w:sz w:val="20"/>
          <w:szCs w:val="20"/>
        </w:rPr>
      </w:pPr>
      <w:r w:rsidRPr="00A063AD">
        <w:rPr>
          <w:rFonts w:ascii="Book Antiqua" w:hAnsi="Book Antiqua" w:cs="Calibri Light"/>
          <w:sz w:val="20"/>
          <w:szCs w:val="20"/>
        </w:rPr>
        <w:t>Zamawiający</w:t>
      </w:r>
      <w:r w:rsidR="001728F1" w:rsidRPr="00A063AD">
        <w:rPr>
          <w:rFonts w:ascii="Book Antiqua" w:hAnsi="Book Antiqua" w:cs="Calibri Light"/>
          <w:sz w:val="20"/>
          <w:szCs w:val="20"/>
        </w:rPr>
        <w:t xml:space="preserve"> </w:t>
      </w:r>
      <w:r w:rsidRPr="00A063AD">
        <w:rPr>
          <w:rFonts w:ascii="Book Antiqua" w:hAnsi="Book Antiqua" w:cs="Calibri Light"/>
          <w:sz w:val="20"/>
          <w:szCs w:val="20"/>
        </w:rPr>
        <w:t xml:space="preserve">podzielił postępowanie na </w:t>
      </w:r>
      <w:r w:rsidR="00513F64">
        <w:rPr>
          <w:rFonts w:ascii="Book Antiqua" w:hAnsi="Book Antiqua" w:cs="Calibri Light"/>
          <w:sz w:val="20"/>
          <w:szCs w:val="20"/>
        </w:rPr>
        <w:t>3</w:t>
      </w:r>
      <w:r w:rsidR="00A063AD" w:rsidRPr="00A063AD">
        <w:rPr>
          <w:rFonts w:ascii="Book Antiqua" w:hAnsi="Book Antiqua" w:cs="Calibri Light"/>
          <w:sz w:val="20"/>
          <w:szCs w:val="20"/>
        </w:rPr>
        <w:t xml:space="preserve"> </w:t>
      </w:r>
      <w:r w:rsidRPr="00A063AD">
        <w:rPr>
          <w:rFonts w:ascii="Book Antiqua" w:hAnsi="Book Antiqua" w:cs="Calibri Light"/>
          <w:sz w:val="20"/>
          <w:szCs w:val="20"/>
        </w:rPr>
        <w:t>części</w:t>
      </w:r>
      <w:r w:rsidR="004541B9" w:rsidRPr="00A063AD">
        <w:rPr>
          <w:rFonts w:ascii="Book Antiqua" w:hAnsi="Book Antiqua" w:cs="Calibri Light"/>
          <w:sz w:val="20"/>
          <w:szCs w:val="20"/>
        </w:rPr>
        <w:t>.</w:t>
      </w:r>
      <w:r w:rsidR="001728F1" w:rsidRPr="00A063AD">
        <w:rPr>
          <w:rFonts w:ascii="Book Antiqua" w:hAnsi="Book Antiqua" w:cs="Calibri Light"/>
          <w:sz w:val="20"/>
          <w:szCs w:val="20"/>
        </w:rPr>
        <w:t xml:space="preserve">   </w:t>
      </w:r>
      <w:r w:rsidR="00A063AD" w:rsidRPr="00A063AD">
        <w:rPr>
          <w:rFonts w:ascii="Book Antiqua" w:hAnsi="Book Antiqua" w:cs="Calibri"/>
          <w:bCs/>
          <w:sz w:val="20"/>
          <w:szCs w:val="20"/>
        </w:rPr>
        <w:t xml:space="preserve">Wykonawca może złożyć ofertę na </w:t>
      </w:r>
      <w:r w:rsidR="00513F64">
        <w:rPr>
          <w:rFonts w:ascii="Book Antiqua" w:hAnsi="Book Antiqua" w:cs="Calibri"/>
          <w:bCs/>
          <w:sz w:val="20"/>
          <w:szCs w:val="20"/>
        </w:rPr>
        <w:t xml:space="preserve">trzy </w:t>
      </w:r>
      <w:r w:rsidR="00A063AD" w:rsidRPr="00A063AD">
        <w:rPr>
          <w:rFonts w:ascii="Book Antiqua" w:hAnsi="Book Antiqua" w:cs="Calibri"/>
          <w:bCs/>
          <w:sz w:val="20"/>
          <w:szCs w:val="20"/>
        </w:rPr>
        <w:t xml:space="preserve"> części zamówienia, czyli na całość zamówienia lub na jedną z części zamówienia, z zastrzeżeniem, iż oferta </w:t>
      </w:r>
      <w:r w:rsidR="00A063AD" w:rsidRPr="00A063AD">
        <w:rPr>
          <w:rFonts w:ascii="Book Antiqua" w:hAnsi="Book Antiqua" w:cs="Calibri"/>
          <w:bCs/>
          <w:sz w:val="20"/>
          <w:szCs w:val="20"/>
        </w:rPr>
        <w:br/>
        <w:t>w każdej części powinna być pełna. Każda część będzie oceniana osobno przez Zamawiającego.</w:t>
      </w:r>
    </w:p>
    <w:p w14:paraId="41B533C1" w14:textId="06B56452" w:rsidR="007162B7" w:rsidRPr="00A063AD" w:rsidRDefault="007162B7" w:rsidP="005E6934">
      <w:pPr>
        <w:pStyle w:val="Akapitzlist"/>
        <w:numPr>
          <w:ilvl w:val="0"/>
          <w:numId w:val="20"/>
        </w:numPr>
        <w:pBdr>
          <w:top w:val="nil"/>
          <w:left w:val="nil"/>
          <w:bottom w:val="nil"/>
          <w:right w:val="nil"/>
          <w:between w:val="nil"/>
        </w:pBdr>
        <w:tabs>
          <w:tab w:val="clear" w:pos="595"/>
        </w:tabs>
        <w:spacing w:before="240" w:line="360" w:lineRule="auto"/>
        <w:ind w:hanging="595"/>
        <w:jc w:val="both"/>
        <w:rPr>
          <w:rFonts w:ascii="Calibri" w:hAnsi="Calibri" w:cs="Calibri Light"/>
          <w:sz w:val="22"/>
          <w:szCs w:val="22"/>
        </w:rPr>
      </w:pPr>
    </w:p>
    <w:p w14:paraId="2FC5C8AD" w14:textId="64E1B3A2" w:rsidR="004541B9" w:rsidRPr="004541B9" w:rsidRDefault="00710789" w:rsidP="004541B9">
      <w:pPr>
        <w:pBdr>
          <w:top w:val="nil"/>
          <w:left w:val="nil"/>
          <w:bottom w:val="nil"/>
          <w:right w:val="nil"/>
          <w:between w:val="nil"/>
        </w:pBdr>
        <w:spacing w:line="360" w:lineRule="auto"/>
        <w:jc w:val="both"/>
        <w:rPr>
          <w:rFonts w:asciiTheme="majorHAnsi" w:hAnsiTheme="majorHAnsi" w:cstheme="majorHAnsi"/>
          <w:color w:val="000000"/>
          <w:sz w:val="22"/>
          <w:szCs w:val="22"/>
        </w:rPr>
      </w:pPr>
      <w:r w:rsidRPr="00710789">
        <w:rPr>
          <w:rFonts w:ascii="Calibri" w:hAnsi="Calibri" w:cs="Calibri Light"/>
          <w:sz w:val="22"/>
          <w:szCs w:val="22"/>
        </w:rPr>
        <w:t xml:space="preserve">Zamówienie finansowane </w:t>
      </w:r>
      <w:r w:rsidRPr="004541B9">
        <w:rPr>
          <w:rFonts w:asciiTheme="majorHAnsi" w:hAnsiTheme="majorHAnsi" w:cstheme="majorHAnsi"/>
          <w:sz w:val="22"/>
          <w:szCs w:val="22"/>
        </w:rPr>
        <w:t xml:space="preserve">jest z </w:t>
      </w:r>
      <w:r w:rsidR="004541B9" w:rsidRPr="004541B9">
        <w:rPr>
          <w:rFonts w:asciiTheme="majorHAnsi" w:hAnsiTheme="majorHAnsi" w:cstheme="majorHAnsi"/>
          <w:color w:val="000000"/>
          <w:sz w:val="22"/>
          <w:szCs w:val="22"/>
        </w:rPr>
        <w:t>projektu: FERS.01.05.IP.08-0</w:t>
      </w:r>
      <w:r w:rsidR="008C7FDB">
        <w:rPr>
          <w:rFonts w:asciiTheme="majorHAnsi" w:hAnsiTheme="majorHAnsi" w:cstheme="majorHAnsi"/>
          <w:color w:val="000000"/>
          <w:sz w:val="22"/>
          <w:szCs w:val="22"/>
        </w:rPr>
        <w:t>06</w:t>
      </w:r>
      <w:r w:rsidR="004541B9" w:rsidRPr="004541B9">
        <w:rPr>
          <w:rFonts w:asciiTheme="majorHAnsi" w:hAnsiTheme="majorHAnsi" w:cstheme="majorHAnsi"/>
          <w:color w:val="000000"/>
          <w:sz w:val="22"/>
          <w:szCs w:val="22"/>
        </w:rPr>
        <w:t xml:space="preserve">/23 </w:t>
      </w:r>
      <w:r w:rsidR="008C7FDB">
        <w:rPr>
          <w:rFonts w:asciiTheme="majorHAnsi" w:hAnsiTheme="majorHAnsi" w:cstheme="majorHAnsi"/>
          <w:color w:val="000000"/>
          <w:sz w:val="22"/>
          <w:szCs w:val="22"/>
        </w:rPr>
        <w:t xml:space="preserve">Wsparcie na rzecz szkolnictwa wyższego ( z wyłączeniem infrastruktury) </w:t>
      </w:r>
      <w:r w:rsidR="004541B9" w:rsidRPr="004541B9">
        <w:rPr>
          <w:rFonts w:asciiTheme="majorHAnsi" w:hAnsiTheme="majorHAnsi" w:cstheme="majorHAnsi"/>
          <w:color w:val="000000"/>
          <w:sz w:val="22"/>
          <w:szCs w:val="22"/>
        </w:rPr>
        <w:t xml:space="preserve">Kierunki drogi dla gospodarki. </w:t>
      </w:r>
    </w:p>
    <w:p w14:paraId="1012CD84" w14:textId="071C48A1" w:rsidR="00710789" w:rsidRPr="004541B9" w:rsidRDefault="004541B9" w:rsidP="004541B9">
      <w:pPr>
        <w:spacing w:line="360" w:lineRule="auto"/>
        <w:ind w:left="142"/>
        <w:jc w:val="both"/>
        <w:rPr>
          <w:rFonts w:ascii="Calibri" w:hAnsi="Calibri" w:cs="Calibri Light"/>
          <w:color w:val="FF0000"/>
          <w:sz w:val="22"/>
          <w:szCs w:val="22"/>
        </w:rPr>
      </w:pPr>
      <w:r w:rsidRPr="004541B9">
        <w:rPr>
          <w:rFonts w:ascii="Calibri" w:hAnsi="Calibri" w:cs="Calibri Light"/>
          <w:color w:val="FF0000"/>
          <w:sz w:val="22"/>
          <w:szCs w:val="22"/>
        </w:rPr>
        <w:t xml:space="preserve">   </w:t>
      </w:r>
    </w:p>
    <w:p w14:paraId="75A00ECA" w14:textId="79898940"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Zamawiający</w:t>
      </w:r>
      <w:r w:rsidR="001728F1">
        <w:rPr>
          <w:rFonts w:ascii="Calibri" w:hAnsi="Calibri" w:cs="Calibri Light"/>
          <w:sz w:val="22"/>
          <w:szCs w:val="22"/>
        </w:rPr>
        <w:t xml:space="preserve"> </w:t>
      </w:r>
      <w:r w:rsidRPr="00D473CC">
        <w:rPr>
          <w:rFonts w:ascii="Calibri" w:hAnsi="Calibri" w:cs="Calibri Light"/>
          <w:sz w:val="22"/>
          <w:szCs w:val="22"/>
        </w:rPr>
        <w:t>dopuszcza możliwość składania ofert częściowych</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lastRenderedPageBreak/>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71E6C37A"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wynosi </w:t>
      </w:r>
      <w:r w:rsidRPr="007E7D99">
        <w:rPr>
          <w:rFonts w:ascii="Calibri" w:hAnsi="Calibri" w:cs="Calibri Light"/>
          <w:sz w:val="22"/>
          <w:szCs w:val="22"/>
        </w:rPr>
        <w:t xml:space="preserve">do </w:t>
      </w:r>
      <w:r w:rsidR="00786BA0" w:rsidRPr="00786BA0">
        <w:rPr>
          <w:rFonts w:ascii="Calibri" w:hAnsi="Calibri" w:cs="Calibri Light"/>
          <w:sz w:val="22"/>
          <w:szCs w:val="22"/>
        </w:rPr>
        <w:t>1</w:t>
      </w:r>
      <w:r w:rsidR="00010384">
        <w:rPr>
          <w:rFonts w:ascii="Calibri" w:hAnsi="Calibri" w:cs="Calibri Light"/>
          <w:sz w:val="22"/>
          <w:szCs w:val="22"/>
        </w:rPr>
        <w:t>4</w:t>
      </w:r>
      <w:r w:rsidRPr="00786BA0">
        <w:rPr>
          <w:rFonts w:ascii="Calibri" w:hAnsi="Calibri" w:cs="Calibri Light"/>
          <w:sz w:val="22"/>
          <w:szCs w:val="22"/>
        </w:rPr>
        <w:t xml:space="preserve"> dni </w:t>
      </w:r>
      <w:r w:rsidRPr="007E7D99">
        <w:rPr>
          <w:rFonts w:ascii="Calibri" w:hAnsi="Calibri" w:cs="Calibri Light"/>
          <w:sz w:val="22"/>
          <w:szCs w:val="22"/>
        </w:rPr>
        <w:t>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1"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1"/>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lastRenderedPageBreak/>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2"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2"/>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Pr="00FD6B13">
        <w:rPr>
          <w:rFonts w:ascii="Calibri" w:hAnsi="Calibri" w:cs="Calibri"/>
          <w:sz w:val="22"/>
          <w:szCs w:val="22"/>
        </w:rPr>
        <w:lastRenderedPageBreak/>
        <w:t>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lastRenderedPageBreak/>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3" w:name="bookmark11"/>
      <w:r w:rsidR="00974EE8" w:rsidRPr="00DC5C9C">
        <w:rPr>
          <w:rFonts w:ascii="Calibri" w:hAnsi="Calibri" w:cs="Calibri Light"/>
          <w:b/>
          <w:bCs/>
        </w:rPr>
        <w:t xml:space="preserve">SPOSÓB KOMUNIKACJI ORAZ </w:t>
      </w:r>
      <w:bookmarkEnd w:id="3"/>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lastRenderedPageBreak/>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w:t>
      </w:r>
      <w:r w:rsidRPr="00CB5239">
        <w:rPr>
          <w:rFonts w:ascii="Calibri" w:hAnsi="Calibri" w:cs="Calibri"/>
          <w:sz w:val="22"/>
          <w:szCs w:val="22"/>
        </w:rPr>
        <w:lastRenderedPageBreak/>
        <w:t>“Komunikaty”.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50299E9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BB367F">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BB367F">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4" w:name="bookmark12"/>
      <w:r w:rsidRPr="00DC5C9C">
        <w:rPr>
          <w:rFonts w:ascii="Calibri" w:hAnsi="Calibri" w:cs="Calibri Light"/>
          <w:b/>
          <w:bCs/>
          <w:sz w:val="24"/>
          <w:szCs w:val="24"/>
        </w:rPr>
        <w:t>OPIS SPOSOBU PRZYGOTOWANIA OFER</w:t>
      </w:r>
      <w:bookmarkEnd w:id="4"/>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lastRenderedPageBreak/>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3CB4D3BB" w:rsidR="00192705" w:rsidRPr="00C2239E" w:rsidRDefault="00192705" w:rsidP="000268A9">
      <w:pPr>
        <w:pStyle w:val="Akapitzlist"/>
        <w:numPr>
          <w:ilvl w:val="0"/>
          <w:numId w:val="37"/>
        </w:numPr>
        <w:spacing w:line="360" w:lineRule="auto"/>
        <w:ind w:left="1134" w:right="20" w:hanging="283"/>
        <w:jc w:val="both"/>
        <w:rPr>
          <w:rFonts w:ascii="Calibri" w:hAnsi="Calibri" w:cs="Calibri Light"/>
          <w:b/>
          <w:sz w:val="22"/>
          <w:szCs w:val="22"/>
        </w:rPr>
      </w:pPr>
      <w:r w:rsidRPr="00C2239E">
        <w:rPr>
          <w:rFonts w:ascii="Calibri" w:hAnsi="Calibri" w:cs="Calibri Light"/>
          <w:sz w:val="22"/>
          <w:szCs w:val="22"/>
        </w:rPr>
        <w:t>Formularza Ofertowego</w:t>
      </w:r>
      <w:r w:rsidR="000268A9">
        <w:rPr>
          <w:rFonts w:ascii="Calibri" w:hAnsi="Calibri" w:cs="Calibri Light"/>
          <w:sz w:val="22"/>
          <w:szCs w:val="22"/>
        </w:rPr>
        <w:t>, Formularza Cenowego</w:t>
      </w:r>
      <w:r w:rsidRPr="00C2239E">
        <w:rPr>
          <w:rFonts w:ascii="Calibri" w:hAnsi="Calibri" w:cs="Calibri Light"/>
          <w:sz w:val="22"/>
          <w:szCs w:val="22"/>
        </w:rPr>
        <w:t xml:space="preserve"> – zgodnie z </w:t>
      </w:r>
      <w:r w:rsidRPr="00C2239E">
        <w:rPr>
          <w:rFonts w:ascii="Calibri" w:hAnsi="Calibri" w:cs="Calibri Light"/>
          <w:b/>
          <w:sz w:val="22"/>
          <w:szCs w:val="22"/>
        </w:rPr>
        <w:t>Załącznikiem nr 1 do SWZ</w:t>
      </w:r>
      <w:r w:rsidR="000268A9">
        <w:rPr>
          <w:rFonts w:ascii="Calibri" w:hAnsi="Calibri" w:cs="Calibri Light"/>
          <w:b/>
          <w:sz w:val="22"/>
          <w:szCs w:val="22"/>
        </w:rPr>
        <w:t>;</w:t>
      </w:r>
    </w:p>
    <w:p w14:paraId="7433C9C1" w14:textId="77777777" w:rsidR="00192705" w:rsidRDefault="00192705" w:rsidP="000268A9">
      <w:pPr>
        <w:numPr>
          <w:ilvl w:val="0"/>
          <w:numId w:val="37"/>
        </w:numPr>
        <w:spacing w:line="360" w:lineRule="auto"/>
        <w:ind w:left="1134" w:hanging="283"/>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C44BEAE" w14:textId="28E70C32" w:rsidR="00635EE4" w:rsidRPr="009E456E" w:rsidRDefault="00AC0FB1" w:rsidP="000268A9">
      <w:pPr>
        <w:pStyle w:val="Akapitzlist"/>
        <w:numPr>
          <w:ilvl w:val="0"/>
          <w:numId w:val="37"/>
        </w:numPr>
        <w:spacing w:line="360" w:lineRule="auto"/>
        <w:ind w:left="1134" w:right="20" w:hanging="283"/>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799235B4"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w:t>
      </w:r>
      <w:r w:rsidR="008230AD" w:rsidRPr="000268A9">
        <w:rPr>
          <w:rFonts w:ascii="Arial" w:hAnsi="Arial" w:cs="Arial"/>
          <w:b/>
          <w:bCs/>
          <w:sz w:val="20"/>
          <w:szCs w:val="20"/>
        </w:rPr>
        <w:t>ofertowego</w:t>
      </w:r>
      <w:r w:rsidR="000268A9" w:rsidRPr="000268A9">
        <w:rPr>
          <w:rFonts w:ascii="Calibri" w:hAnsi="Calibri" w:cs="Calibri Light"/>
          <w:b/>
          <w:bCs/>
          <w:sz w:val="22"/>
          <w:szCs w:val="22"/>
        </w:rPr>
        <w:t xml:space="preserve"> , formularza cenowego</w:t>
      </w:r>
      <w:r w:rsidR="008230AD" w:rsidRPr="000268A9">
        <w:rPr>
          <w:rFonts w:ascii="Arial" w:hAnsi="Arial" w:cs="Arial"/>
          <w:b/>
          <w:bCs/>
          <w:sz w:val="20"/>
          <w:szCs w:val="20"/>
        </w:rPr>
        <w:t xml:space="preserve"> s</w:t>
      </w:r>
      <w:r w:rsidR="008230AD" w:rsidRPr="00C018FF">
        <w:rPr>
          <w:rFonts w:ascii="Arial" w:hAnsi="Arial" w:cs="Arial"/>
          <w:b/>
          <w:bCs/>
          <w:sz w:val="20"/>
          <w:szCs w:val="20"/>
        </w:rPr>
        <w:t>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 xml:space="preserve">Poświadczenia za zgodność z oryginałem dokonuje odpowiednio wykonawca, podmiot, na którego zdolnościach lub sytuacji polega wykonawca, wykonawcy wspólnie ubiegający się o </w:t>
      </w:r>
      <w:r w:rsidRPr="00BF0FF3">
        <w:rPr>
          <w:rFonts w:ascii="Calibri" w:eastAsia="Calibri" w:hAnsi="Calibri" w:cs="Calibri"/>
          <w:sz w:val="22"/>
          <w:szCs w:val="22"/>
        </w:rPr>
        <w:lastRenderedPageBreak/>
        <w:t>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lastRenderedPageBreak/>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71A00138"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w:t>
      </w:r>
      <w:r w:rsidR="006204E8" w:rsidRPr="00786BA0">
        <w:rPr>
          <w:rFonts w:ascii="Calibri" w:hAnsi="Calibri" w:cs="Calibri Light"/>
          <w:sz w:val="22"/>
          <w:szCs w:val="22"/>
        </w:rPr>
        <w:t xml:space="preserve">dnia </w:t>
      </w:r>
      <w:r w:rsidR="00513F64">
        <w:rPr>
          <w:rFonts w:ascii="Calibri" w:hAnsi="Calibri" w:cs="Calibri Light"/>
          <w:b/>
          <w:bCs/>
          <w:caps/>
          <w:sz w:val="22"/>
          <w:szCs w:val="22"/>
        </w:rPr>
        <w:t>14</w:t>
      </w:r>
      <w:r w:rsidR="00001735" w:rsidRPr="00786BA0">
        <w:rPr>
          <w:rFonts w:ascii="Calibri" w:hAnsi="Calibri" w:cs="Calibri Light"/>
          <w:b/>
          <w:bCs/>
          <w:caps/>
          <w:sz w:val="22"/>
          <w:szCs w:val="22"/>
        </w:rPr>
        <w:t>.</w:t>
      </w:r>
      <w:r w:rsidR="00513F64">
        <w:rPr>
          <w:rFonts w:ascii="Calibri" w:hAnsi="Calibri" w:cs="Calibri Light"/>
          <w:b/>
          <w:bCs/>
          <w:caps/>
          <w:sz w:val="22"/>
          <w:szCs w:val="22"/>
        </w:rPr>
        <w:t>0</w:t>
      </w:r>
      <w:r w:rsidR="00786BA0" w:rsidRPr="00786BA0">
        <w:rPr>
          <w:rFonts w:ascii="Calibri" w:hAnsi="Calibri" w:cs="Calibri Light"/>
          <w:b/>
          <w:bCs/>
          <w:caps/>
          <w:sz w:val="22"/>
          <w:szCs w:val="22"/>
        </w:rPr>
        <w:t>1</w:t>
      </w:r>
      <w:r w:rsidR="00932F29" w:rsidRPr="00786BA0">
        <w:rPr>
          <w:rFonts w:ascii="Calibri" w:hAnsi="Calibri" w:cs="Calibri Light"/>
          <w:b/>
          <w:bCs/>
          <w:caps/>
          <w:sz w:val="22"/>
          <w:szCs w:val="22"/>
        </w:rPr>
        <w:t>.202</w:t>
      </w:r>
      <w:r w:rsidR="00CF6006" w:rsidRPr="00786BA0">
        <w:rPr>
          <w:rFonts w:ascii="Calibri" w:hAnsi="Calibri" w:cs="Calibri Light"/>
          <w:b/>
          <w:bCs/>
          <w:caps/>
          <w:sz w:val="22"/>
          <w:szCs w:val="22"/>
        </w:rPr>
        <w:t>4</w:t>
      </w:r>
      <w:r w:rsidR="006204E8" w:rsidRPr="00786BA0">
        <w:rPr>
          <w:rFonts w:ascii="Calibri" w:hAnsi="Calibri" w:cs="Calibri Light"/>
          <w:b/>
          <w:bCs/>
          <w:sz w:val="22"/>
          <w:szCs w:val="22"/>
        </w:rPr>
        <w:t>r</w:t>
      </w:r>
      <w:r w:rsidR="006204E8" w:rsidRPr="00786BA0">
        <w:rPr>
          <w:rFonts w:ascii="Calibri" w:hAnsi="Calibri" w:cs="Calibri Light"/>
          <w:sz w:val="22"/>
          <w:szCs w:val="22"/>
        </w:rPr>
        <w:t>.</w:t>
      </w:r>
      <w:r w:rsidR="00552FBA" w:rsidRPr="00786BA0">
        <w:rPr>
          <w:rFonts w:ascii="Calibri" w:hAnsi="Calibri" w:cs="Calibri Light"/>
          <w:sz w:val="22"/>
          <w:szCs w:val="22"/>
        </w:rPr>
        <w:t xml:space="preserve"> Bieg </w:t>
      </w:r>
      <w:r w:rsidR="00552FBA" w:rsidRPr="00DC5C9C">
        <w:rPr>
          <w:rFonts w:ascii="Calibri" w:hAnsi="Calibri" w:cs="Calibri Light"/>
          <w:sz w:val="22"/>
          <w:szCs w:val="22"/>
        </w:rPr>
        <w:t>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76B8DA20" w:rsidR="00B5063F" w:rsidRPr="00786BA0"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513F64">
        <w:rPr>
          <w:rFonts w:asciiTheme="majorHAnsi" w:hAnsiTheme="majorHAnsi" w:cstheme="majorHAnsi"/>
          <w:b/>
          <w:sz w:val="22"/>
          <w:szCs w:val="22"/>
        </w:rPr>
        <w:t>1</w:t>
      </w:r>
      <w:r w:rsidR="00697C12">
        <w:rPr>
          <w:rFonts w:asciiTheme="majorHAnsi" w:hAnsiTheme="majorHAnsi" w:cstheme="majorHAnsi"/>
          <w:b/>
          <w:sz w:val="22"/>
          <w:szCs w:val="22"/>
        </w:rPr>
        <w:t>8</w:t>
      </w:r>
      <w:r w:rsidR="00172F5A" w:rsidRPr="00786BA0">
        <w:rPr>
          <w:rFonts w:asciiTheme="majorHAnsi" w:hAnsiTheme="majorHAnsi" w:cstheme="majorHAnsi"/>
          <w:b/>
          <w:sz w:val="22"/>
          <w:szCs w:val="22"/>
        </w:rPr>
        <w:t>.</w:t>
      </w:r>
      <w:r w:rsidR="00786BA0" w:rsidRPr="00786BA0">
        <w:rPr>
          <w:rFonts w:asciiTheme="majorHAnsi" w:hAnsiTheme="majorHAnsi" w:cstheme="majorHAnsi"/>
          <w:b/>
          <w:sz w:val="22"/>
          <w:szCs w:val="22"/>
        </w:rPr>
        <w:t>1</w:t>
      </w:r>
      <w:r w:rsidR="00513F64">
        <w:rPr>
          <w:rFonts w:asciiTheme="majorHAnsi" w:hAnsiTheme="majorHAnsi" w:cstheme="majorHAnsi"/>
          <w:b/>
          <w:sz w:val="22"/>
          <w:szCs w:val="22"/>
        </w:rPr>
        <w:t>2</w:t>
      </w:r>
      <w:r w:rsidR="00172F5A" w:rsidRPr="00786BA0">
        <w:rPr>
          <w:rFonts w:asciiTheme="majorHAnsi" w:hAnsiTheme="majorHAnsi" w:cstheme="majorHAnsi"/>
          <w:b/>
          <w:sz w:val="22"/>
          <w:szCs w:val="22"/>
        </w:rPr>
        <w:t>.202</w:t>
      </w:r>
      <w:r w:rsidR="00CF6006" w:rsidRPr="00786BA0">
        <w:rPr>
          <w:rFonts w:asciiTheme="majorHAnsi" w:hAnsiTheme="majorHAnsi" w:cstheme="majorHAnsi"/>
          <w:b/>
          <w:sz w:val="22"/>
          <w:szCs w:val="22"/>
        </w:rPr>
        <w:t>4</w:t>
      </w:r>
      <w:r w:rsidR="00B5063F" w:rsidRPr="00786BA0">
        <w:rPr>
          <w:rFonts w:asciiTheme="majorHAnsi" w:hAnsiTheme="majorHAnsi" w:cstheme="majorHAnsi"/>
          <w:b/>
          <w:sz w:val="22"/>
          <w:szCs w:val="22"/>
        </w:rPr>
        <w:t xml:space="preserve">r. do godziny </w:t>
      </w:r>
      <w:r w:rsidR="00BB367F" w:rsidRPr="00786BA0">
        <w:rPr>
          <w:rFonts w:asciiTheme="majorHAnsi" w:hAnsiTheme="majorHAnsi" w:cstheme="majorHAnsi"/>
          <w:b/>
          <w:sz w:val="22"/>
          <w:szCs w:val="22"/>
        </w:rPr>
        <w:t>8</w:t>
      </w:r>
      <w:r w:rsidR="00B5063F" w:rsidRPr="00786BA0">
        <w:rPr>
          <w:rFonts w:asciiTheme="majorHAnsi" w:hAnsiTheme="majorHAnsi" w:cstheme="majorHAnsi"/>
          <w:b/>
          <w:sz w:val="22"/>
          <w:szCs w:val="22"/>
        </w:rPr>
        <w:t>:00</w:t>
      </w:r>
      <w:r w:rsidR="00B5063F" w:rsidRPr="00786BA0">
        <w:rPr>
          <w:rFonts w:asciiTheme="majorHAnsi" w:hAnsiTheme="majorHAnsi" w:cstheme="majorHAnsi"/>
          <w:sz w:val="22"/>
          <w:szCs w:val="22"/>
        </w:rPr>
        <w:t>.</w:t>
      </w:r>
    </w:p>
    <w:p w14:paraId="4FE423B7" w14:textId="77777777" w:rsidR="00115F5C" w:rsidRPr="00786BA0"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786BA0">
        <w:rPr>
          <w:rFonts w:asciiTheme="majorHAnsi" w:hAnsiTheme="majorHAnsi" w:cstheme="majorHAnsi"/>
          <w:sz w:val="22"/>
          <w:szCs w:val="22"/>
        </w:rPr>
        <w:tab/>
      </w:r>
      <w:r w:rsidR="00B5063F" w:rsidRPr="00786BA0">
        <w:rPr>
          <w:rFonts w:asciiTheme="majorHAnsi" w:hAnsiTheme="majorHAnsi" w:cstheme="majorHAnsi"/>
          <w:sz w:val="22"/>
          <w:szCs w:val="22"/>
        </w:rPr>
        <w:t>O terminie złożenia oferty decyduje czas pełnego przeprocesowania transakcji na Platformie.</w:t>
      </w:r>
    </w:p>
    <w:p w14:paraId="7E3B1631" w14:textId="45D7C96C"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786BA0">
        <w:rPr>
          <w:rFonts w:asciiTheme="majorHAnsi" w:hAnsiTheme="majorHAnsi" w:cstheme="majorHAnsi"/>
          <w:sz w:val="22"/>
          <w:szCs w:val="22"/>
        </w:rPr>
        <w:tab/>
      </w:r>
      <w:r w:rsidR="000E2EE8" w:rsidRPr="00786BA0">
        <w:rPr>
          <w:rFonts w:asciiTheme="majorHAnsi" w:hAnsiTheme="majorHAnsi" w:cstheme="majorHAnsi"/>
          <w:sz w:val="22"/>
          <w:szCs w:val="22"/>
        </w:rPr>
        <w:t xml:space="preserve">Otwarcie ofert nastąpi </w:t>
      </w:r>
      <w:r w:rsidR="00115F5C" w:rsidRPr="00786BA0">
        <w:rPr>
          <w:rFonts w:asciiTheme="majorHAnsi" w:hAnsiTheme="majorHAnsi" w:cstheme="majorHAnsi"/>
          <w:sz w:val="22"/>
          <w:szCs w:val="22"/>
        </w:rPr>
        <w:t xml:space="preserve">w dniu </w:t>
      </w:r>
      <w:r w:rsidR="00513F64">
        <w:rPr>
          <w:rFonts w:asciiTheme="majorHAnsi" w:hAnsiTheme="majorHAnsi" w:cstheme="majorHAnsi"/>
          <w:b/>
          <w:bCs/>
          <w:caps/>
          <w:sz w:val="22"/>
          <w:szCs w:val="22"/>
        </w:rPr>
        <w:t>1</w:t>
      </w:r>
      <w:r w:rsidR="00DC7370">
        <w:rPr>
          <w:rFonts w:asciiTheme="majorHAnsi" w:hAnsiTheme="majorHAnsi" w:cstheme="majorHAnsi"/>
          <w:b/>
          <w:bCs/>
          <w:caps/>
          <w:sz w:val="22"/>
          <w:szCs w:val="22"/>
        </w:rPr>
        <w:t>8</w:t>
      </w:r>
      <w:r w:rsidR="00172F5A" w:rsidRPr="00786BA0">
        <w:rPr>
          <w:rFonts w:asciiTheme="majorHAnsi" w:hAnsiTheme="majorHAnsi" w:cstheme="majorHAnsi"/>
          <w:b/>
          <w:bCs/>
          <w:caps/>
          <w:sz w:val="22"/>
          <w:szCs w:val="22"/>
        </w:rPr>
        <w:t>.</w:t>
      </w:r>
      <w:r w:rsidR="00786BA0" w:rsidRPr="00786BA0">
        <w:rPr>
          <w:rFonts w:asciiTheme="majorHAnsi" w:hAnsiTheme="majorHAnsi" w:cstheme="majorHAnsi"/>
          <w:b/>
          <w:bCs/>
          <w:caps/>
          <w:sz w:val="22"/>
          <w:szCs w:val="22"/>
        </w:rPr>
        <w:t>1</w:t>
      </w:r>
      <w:r w:rsidR="00513F64">
        <w:rPr>
          <w:rFonts w:asciiTheme="majorHAnsi" w:hAnsiTheme="majorHAnsi" w:cstheme="majorHAnsi"/>
          <w:b/>
          <w:bCs/>
          <w:caps/>
          <w:sz w:val="22"/>
          <w:szCs w:val="22"/>
        </w:rPr>
        <w:t>2</w:t>
      </w:r>
      <w:r w:rsidR="00172F5A" w:rsidRPr="00786BA0">
        <w:rPr>
          <w:rFonts w:asciiTheme="majorHAnsi" w:hAnsiTheme="majorHAnsi" w:cstheme="majorHAnsi"/>
          <w:b/>
          <w:bCs/>
          <w:caps/>
          <w:sz w:val="22"/>
          <w:szCs w:val="22"/>
        </w:rPr>
        <w:t>.202</w:t>
      </w:r>
      <w:r w:rsidR="00CF6006" w:rsidRPr="00786BA0">
        <w:rPr>
          <w:rFonts w:asciiTheme="majorHAnsi" w:hAnsiTheme="majorHAnsi" w:cstheme="majorHAnsi"/>
          <w:b/>
          <w:bCs/>
          <w:caps/>
          <w:sz w:val="22"/>
          <w:szCs w:val="22"/>
        </w:rPr>
        <w:t>4</w:t>
      </w:r>
      <w:r w:rsidR="00C42D24" w:rsidRPr="00786BA0">
        <w:rPr>
          <w:rFonts w:asciiTheme="majorHAnsi" w:hAnsiTheme="majorHAnsi" w:cstheme="majorHAnsi"/>
          <w:b/>
          <w:sz w:val="22"/>
          <w:szCs w:val="22"/>
        </w:rPr>
        <w:t xml:space="preserve"> </w:t>
      </w:r>
      <w:r w:rsidR="00115F5C" w:rsidRPr="00786BA0">
        <w:rPr>
          <w:rFonts w:asciiTheme="majorHAnsi" w:hAnsiTheme="majorHAnsi" w:cstheme="majorHAnsi"/>
          <w:b/>
          <w:sz w:val="22"/>
          <w:szCs w:val="22"/>
        </w:rPr>
        <w:t>r. o g</w:t>
      </w:r>
      <w:r w:rsidR="00115F5C" w:rsidRPr="001728F1">
        <w:rPr>
          <w:rFonts w:asciiTheme="majorHAnsi" w:hAnsiTheme="majorHAnsi" w:cstheme="majorHAnsi"/>
          <w:b/>
          <w:sz w:val="22"/>
          <w:szCs w:val="22"/>
        </w:rPr>
        <w:t>o</w:t>
      </w:r>
      <w:r w:rsidR="00115F5C" w:rsidRPr="00474963">
        <w:rPr>
          <w:rFonts w:asciiTheme="majorHAnsi" w:hAnsiTheme="majorHAnsi" w:cstheme="majorHAnsi"/>
          <w:b/>
          <w:sz w:val="22"/>
          <w:szCs w:val="22"/>
        </w:rPr>
        <w:t xml:space="preserve">dzinie </w:t>
      </w:r>
      <w:r w:rsidR="00BB367F">
        <w:rPr>
          <w:rFonts w:asciiTheme="majorHAnsi" w:hAnsiTheme="majorHAnsi" w:cstheme="majorHAnsi"/>
          <w:b/>
          <w:sz w:val="22"/>
          <w:szCs w:val="22"/>
        </w:rPr>
        <w:t>8</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lastRenderedPageBreak/>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4">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lastRenderedPageBreak/>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EB4DE8">
        <w:tc>
          <w:tcPr>
            <w:tcW w:w="3681" w:type="dxa"/>
            <w:shd w:val="clear" w:color="auto" w:fill="auto"/>
          </w:tcPr>
          <w:p w14:paraId="4A300A73"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42BE020F" w:rsidR="000D1A0C" w:rsidRPr="0048726B" w:rsidRDefault="00786BA0"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5</w:t>
            </w:r>
            <w:r w:rsidR="00470B73">
              <w:rPr>
                <w:rFonts w:asciiTheme="majorHAnsi" w:hAnsiTheme="majorHAnsi" w:cstheme="majorHAnsi"/>
                <w:b/>
                <w:bCs/>
                <w:sz w:val="22"/>
                <w:szCs w:val="22"/>
              </w:rPr>
              <w:t>-</w:t>
            </w:r>
            <w:r w:rsidR="009F27A3">
              <w:rPr>
                <w:rFonts w:asciiTheme="majorHAnsi" w:hAnsiTheme="majorHAnsi" w:cstheme="majorHAnsi"/>
                <w:b/>
                <w:bCs/>
                <w:sz w:val="22"/>
                <w:szCs w:val="22"/>
              </w:rPr>
              <w:t>8</w:t>
            </w:r>
            <w:r w:rsidR="000D1A0C" w:rsidRPr="0048726B">
              <w:rPr>
                <w:rFonts w:asciiTheme="majorHAnsi" w:hAnsiTheme="majorHAnsi" w:cstheme="majorHAnsi"/>
                <w:b/>
                <w:bCs/>
                <w:sz w:val="22"/>
                <w:szCs w:val="22"/>
              </w:rPr>
              <w:t xml:space="preserve"> dni</w:t>
            </w:r>
          </w:p>
        </w:tc>
        <w:tc>
          <w:tcPr>
            <w:tcW w:w="1276" w:type="dxa"/>
            <w:shd w:val="clear" w:color="auto" w:fill="auto"/>
          </w:tcPr>
          <w:p w14:paraId="1BC53D7E" w14:textId="6A89B445" w:rsidR="000D1A0C" w:rsidRPr="0048726B" w:rsidRDefault="00786BA0" w:rsidP="00786BA0">
            <w:pPr>
              <w:pStyle w:val="Tekstpodstawowy2"/>
              <w:tabs>
                <w:tab w:val="num" w:pos="180"/>
                <w:tab w:val="center" w:pos="530"/>
              </w:tabs>
              <w:jc w:val="left"/>
              <w:rPr>
                <w:rFonts w:asciiTheme="majorHAnsi" w:hAnsiTheme="majorHAnsi" w:cstheme="majorHAnsi"/>
                <w:b/>
                <w:bCs/>
                <w:sz w:val="22"/>
                <w:szCs w:val="22"/>
              </w:rPr>
            </w:pPr>
            <w:r>
              <w:rPr>
                <w:rFonts w:asciiTheme="majorHAnsi" w:hAnsiTheme="majorHAnsi" w:cstheme="majorHAnsi"/>
                <w:b/>
                <w:bCs/>
                <w:sz w:val="22"/>
                <w:szCs w:val="22"/>
              </w:rPr>
              <w:tab/>
            </w:r>
            <w:r w:rsidR="009F27A3">
              <w:rPr>
                <w:rFonts w:asciiTheme="majorHAnsi" w:hAnsiTheme="majorHAnsi" w:cstheme="majorHAnsi"/>
                <w:b/>
                <w:bCs/>
                <w:sz w:val="22"/>
                <w:szCs w:val="22"/>
              </w:rPr>
              <w:t>9</w:t>
            </w:r>
            <w:r w:rsidR="00470B73">
              <w:rPr>
                <w:rFonts w:asciiTheme="majorHAnsi" w:hAnsiTheme="majorHAnsi" w:cstheme="majorHAnsi"/>
                <w:b/>
                <w:bCs/>
                <w:sz w:val="22"/>
                <w:szCs w:val="22"/>
              </w:rPr>
              <w:t>-</w:t>
            </w:r>
            <w:r>
              <w:rPr>
                <w:rFonts w:asciiTheme="majorHAnsi" w:hAnsiTheme="majorHAnsi" w:cstheme="majorHAnsi"/>
                <w:b/>
                <w:bCs/>
                <w:sz w:val="22"/>
                <w:szCs w:val="22"/>
              </w:rPr>
              <w:t>1</w:t>
            </w:r>
            <w:r w:rsidR="009F27A3">
              <w:rPr>
                <w:rFonts w:asciiTheme="majorHAnsi" w:hAnsiTheme="majorHAnsi" w:cstheme="majorHAnsi"/>
                <w:b/>
                <w:bCs/>
                <w:sz w:val="22"/>
                <w:szCs w:val="22"/>
              </w:rPr>
              <w:t>1</w:t>
            </w:r>
            <w:r w:rsidR="000D1A0C" w:rsidRPr="0048726B">
              <w:rPr>
                <w:rFonts w:asciiTheme="majorHAnsi" w:hAnsiTheme="majorHAnsi" w:cstheme="majorHAnsi"/>
                <w:b/>
                <w:bCs/>
                <w:sz w:val="22"/>
                <w:szCs w:val="22"/>
              </w:rPr>
              <w:t xml:space="preserve"> dni</w:t>
            </w:r>
          </w:p>
        </w:tc>
        <w:tc>
          <w:tcPr>
            <w:tcW w:w="1418" w:type="dxa"/>
          </w:tcPr>
          <w:p w14:paraId="78D4C7C3" w14:textId="764531F5" w:rsidR="000D1A0C" w:rsidRPr="0048726B" w:rsidRDefault="00786BA0"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r w:rsidR="009F27A3">
              <w:rPr>
                <w:rFonts w:asciiTheme="majorHAnsi" w:hAnsiTheme="majorHAnsi" w:cstheme="majorHAnsi"/>
                <w:b/>
                <w:bCs/>
                <w:sz w:val="22"/>
                <w:szCs w:val="22"/>
              </w:rPr>
              <w:t>2</w:t>
            </w:r>
            <w:r w:rsidR="00470B73">
              <w:rPr>
                <w:rFonts w:asciiTheme="majorHAnsi" w:hAnsiTheme="majorHAnsi" w:cstheme="majorHAnsi"/>
                <w:b/>
                <w:bCs/>
                <w:sz w:val="22"/>
                <w:szCs w:val="22"/>
              </w:rPr>
              <w:t>-</w:t>
            </w:r>
            <w:r>
              <w:rPr>
                <w:rFonts w:asciiTheme="majorHAnsi" w:hAnsiTheme="majorHAnsi" w:cstheme="majorHAnsi"/>
                <w:b/>
                <w:bCs/>
                <w:sz w:val="22"/>
                <w:szCs w:val="22"/>
              </w:rPr>
              <w:t>1</w:t>
            </w:r>
            <w:r w:rsidR="009F27A3">
              <w:rPr>
                <w:rFonts w:asciiTheme="majorHAnsi" w:hAnsiTheme="majorHAnsi" w:cstheme="majorHAnsi"/>
                <w:b/>
                <w:bCs/>
                <w:sz w:val="22"/>
                <w:szCs w:val="22"/>
              </w:rPr>
              <w:t>4</w:t>
            </w:r>
            <w:r w:rsidR="000D1A0C">
              <w:rPr>
                <w:rFonts w:asciiTheme="majorHAnsi" w:hAnsiTheme="majorHAnsi" w:cstheme="majorHAnsi"/>
                <w:b/>
                <w:bCs/>
                <w:sz w:val="22"/>
                <w:szCs w:val="22"/>
              </w:rPr>
              <w:t xml:space="preserve"> </w:t>
            </w:r>
            <w:r w:rsidR="000D1A0C" w:rsidRPr="0048726B">
              <w:rPr>
                <w:rFonts w:asciiTheme="majorHAnsi" w:hAnsiTheme="majorHAnsi" w:cstheme="majorHAnsi"/>
                <w:b/>
                <w:bCs/>
                <w:sz w:val="22"/>
                <w:szCs w:val="22"/>
              </w:rPr>
              <w:t>dni</w:t>
            </w:r>
          </w:p>
        </w:tc>
      </w:tr>
      <w:tr w:rsidR="000D1A0C" w:rsidRPr="0048726B" w14:paraId="4F4C549D" w14:textId="77777777" w:rsidTr="00EB4DE8">
        <w:trPr>
          <w:trHeight w:val="472"/>
        </w:trPr>
        <w:tc>
          <w:tcPr>
            <w:tcW w:w="3681" w:type="dxa"/>
            <w:shd w:val="clear" w:color="auto" w:fill="auto"/>
          </w:tcPr>
          <w:p w14:paraId="2C01B551" w14:textId="77777777" w:rsidR="000D1A0C" w:rsidRPr="0048726B" w:rsidRDefault="000D1A0C" w:rsidP="00EB4DE8">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EB4DE8">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13974BB5"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9F27A3">
        <w:rPr>
          <w:rFonts w:asciiTheme="majorHAnsi" w:hAnsiTheme="majorHAnsi"/>
          <w:b/>
          <w:szCs w:val="22"/>
        </w:rPr>
        <w:t>14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6BD02FB2" w:rsidR="001641E3" w:rsidRDefault="00BB367F" w:rsidP="00BB367F">
      <w:pPr>
        <w:pStyle w:val="Standard"/>
        <w:ind w:left="142"/>
        <w:rPr>
          <w:rFonts w:ascii="Calibri" w:hAnsi="Calibri" w:cs="Calibri Light"/>
          <w:sz w:val="22"/>
          <w:szCs w:val="22"/>
        </w:rPr>
      </w:pPr>
      <w:r w:rsidRPr="006970D5">
        <w:rPr>
          <w:rFonts w:ascii="Calibri" w:hAnsi="Calibri" w:cs="Calibri Light"/>
          <w:sz w:val="22"/>
          <w:szCs w:val="22"/>
          <w:u w:val="single"/>
        </w:rPr>
        <w:t xml:space="preserve">W przypadku wskazania przez Wykonawcę w Formularzu Ofertowym oferowanego terminu </w:t>
      </w:r>
      <w:r>
        <w:rPr>
          <w:rFonts w:ascii="Calibri" w:hAnsi="Calibri" w:cs="Calibri Light"/>
          <w:sz w:val="22"/>
          <w:szCs w:val="22"/>
          <w:u w:val="single"/>
        </w:rPr>
        <w:t xml:space="preserve">dłuższego niż </w:t>
      </w:r>
      <w:r w:rsidR="009F27A3">
        <w:rPr>
          <w:rFonts w:ascii="Calibri" w:hAnsi="Calibri" w:cs="Calibri Light"/>
          <w:sz w:val="22"/>
          <w:szCs w:val="22"/>
          <w:u w:val="single"/>
        </w:rPr>
        <w:t>14</w:t>
      </w:r>
      <w:r>
        <w:rPr>
          <w:rFonts w:ascii="Calibri" w:hAnsi="Calibri" w:cs="Calibri Light"/>
          <w:sz w:val="22"/>
          <w:szCs w:val="22"/>
          <w:u w:val="single"/>
        </w:rPr>
        <w:t xml:space="preserve"> dni na </w:t>
      </w:r>
      <w:r w:rsidRPr="006970D5">
        <w:rPr>
          <w:rFonts w:ascii="Calibri" w:hAnsi="Calibri" w:cs="Calibri Light"/>
          <w:sz w:val="22"/>
          <w:szCs w:val="22"/>
          <w:u w:val="single"/>
        </w:rPr>
        <w:t>wykonani</w:t>
      </w:r>
      <w:r>
        <w:rPr>
          <w:rFonts w:ascii="Calibri" w:hAnsi="Calibri" w:cs="Calibri Light"/>
          <w:sz w:val="22"/>
          <w:szCs w:val="22"/>
          <w:u w:val="single"/>
        </w:rPr>
        <w:t>e</w:t>
      </w:r>
      <w:r w:rsidRPr="006970D5">
        <w:rPr>
          <w:rFonts w:ascii="Calibri" w:hAnsi="Calibri" w:cs="Calibri Light"/>
          <w:sz w:val="22"/>
          <w:szCs w:val="22"/>
          <w:u w:val="single"/>
        </w:rPr>
        <w:t xml:space="preserve"> dostawy, Zamawiający</w:t>
      </w:r>
      <w:r>
        <w:rPr>
          <w:rFonts w:ascii="Calibri" w:hAnsi="Calibri" w:cs="Calibri Light"/>
          <w:sz w:val="22"/>
          <w:szCs w:val="22"/>
          <w:u w:val="single"/>
        </w:rPr>
        <w:t xml:space="preserve"> odrzuci ofertę.</w:t>
      </w:r>
    </w:p>
    <w:p w14:paraId="4F900DF1" w14:textId="2806C3A5"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010384">
        <w:rPr>
          <w:rFonts w:ascii="Calibri" w:hAnsi="Calibri" w:cs="Calibri Light"/>
          <w:sz w:val="22"/>
          <w:szCs w:val="22"/>
          <w:u w:val="single"/>
        </w:rPr>
        <w:t>14</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lastRenderedPageBreak/>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w:t>
      </w:r>
      <w:r w:rsidR="006204E8" w:rsidRPr="00DC5C9C">
        <w:rPr>
          <w:rFonts w:ascii="Calibri" w:hAnsi="Calibri" w:cs="Calibri Light"/>
          <w:sz w:val="22"/>
          <w:szCs w:val="22"/>
        </w:rPr>
        <w:lastRenderedPageBreak/>
        <w:t xml:space="preserve">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lastRenderedPageBreak/>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6C5AC8D8" w14:textId="71D7FEA7" w:rsidR="00917A85" w:rsidRDefault="00917A85" w:rsidP="00917A85">
      <w:pPr>
        <w:pStyle w:val="Akapitzlist"/>
        <w:suppressAutoHyphens/>
        <w:spacing w:line="360" w:lineRule="auto"/>
        <w:ind w:left="360"/>
        <w:jc w:val="both"/>
        <w:rPr>
          <w:rFonts w:ascii="Calibri" w:hAnsi="Calibri" w:cs="Calibri Light"/>
          <w:sz w:val="22"/>
          <w:szCs w:val="22"/>
        </w:rPr>
      </w:pPr>
    </w:p>
    <w:p w14:paraId="065133FF" w14:textId="77777777" w:rsidR="00917A85" w:rsidRPr="00C135EF" w:rsidRDefault="00917A85" w:rsidP="00917A85">
      <w:pPr>
        <w:pStyle w:val="Akapitzlist"/>
        <w:suppressAutoHyphens/>
        <w:spacing w:line="360" w:lineRule="auto"/>
        <w:ind w:left="360"/>
        <w:jc w:val="both"/>
        <w:rPr>
          <w:rFonts w:ascii="Calibri" w:hAnsi="Calibri" w:cs="Calibri Light"/>
          <w:sz w:val="22"/>
          <w:szCs w:val="22"/>
        </w:rPr>
      </w:pP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6B185F60"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A82242">
              <w:rPr>
                <w:rFonts w:ascii="Calibri" w:hAnsi="Calibri" w:cs="Calibri Light"/>
                <w:sz w:val="22"/>
                <w:szCs w:val="22"/>
              </w:rPr>
              <w:t>,</w:t>
            </w:r>
            <w:r>
              <w:rPr>
                <w:rFonts w:ascii="Calibri" w:hAnsi="Calibri" w:cs="Calibri Light"/>
                <w:sz w:val="22"/>
                <w:szCs w:val="22"/>
              </w:rPr>
              <w:t xml:space="preserve"> </w:t>
            </w:r>
            <w:r w:rsidR="00A82242">
              <w:rPr>
                <w:rFonts w:ascii="Calibri" w:hAnsi="Calibri" w:cs="Calibri Light"/>
                <w:sz w:val="22"/>
                <w:szCs w:val="22"/>
              </w:rPr>
              <w:t xml:space="preserve"> Formularz cenowy</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4ECAEBEE" w14:textId="77777777" w:rsidTr="00977BD7">
        <w:tc>
          <w:tcPr>
            <w:tcW w:w="1952" w:type="dxa"/>
          </w:tcPr>
          <w:p w14:paraId="1FFF5399" w14:textId="45004B91"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sidR="001728F1">
              <w:rPr>
                <w:rFonts w:ascii="Calibri" w:hAnsi="Calibri" w:cs="Calibri Light"/>
                <w:sz w:val="22"/>
                <w:szCs w:val="22"/>
              </w:rPr>
              <w:t>3</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12C6249F" w14:textId="77777777" w:rsidR="001C3A4D" w:rsidRDefault="001C3A4D" w:rsidP="001C3A4D">
      <w:pPr>
        <w:tabs>
          <w:tab w:val="left" w:pos="0"/>
        </w:tabs>
        <w:ind w:firstLine="6120"/>
        <w:jc w:val="center"/>
        <w:rPr>
          <w:rFonts w:ascii="Century Gothic" w:hAnsi="Century Gothic" w:cs="Century Gothic"/>
          <w:sz w:val="18"/>
          <w:szCs w:val="18"/>
        </w:rPr>
      </w:pPr>
      <w:proofErr w:type="spellStart"/>
      <w:r>
        <w:rPr>
          <w:rFonts w:ascii="Century Gothic" w:hAnsi="Century Gothic" w:cs="Century Gothic"/>
          <w:sz w:val="18"/>
          <w:szCs w:val="18"/>
        </w:rPr>
        <w:t>p.o</w:t>
      </w:r>
      <w:proofErr w:type="spellEnd"/>
      <w:r>
        <w:rPr>
          <w:rFonts w:ascii="Century Gothic" w:hAnsi="Century Gothic" w:cs="Century Gothic"/>
          <w:sz w:val="18"/>
          <w:szCs w:val="18"/>
        </w:rPr>
        <w:t xml:space="preserve"> Kanclerza</w:t>
      </w:r>
    </w:p>
    <w:p w14:paraId="5877605C" w14:textId="77777777" w:rsidR="000268A9" w:rsidRDefault="000268A9" w:rsidP="007C1B09">
      <w:pPr>
        <w:tabs>
          <w:tab w:val="left" w:pos="0"/>
        </w:tabs>
        <w:ind w:firstLine="6120"/>
        <w:jc w:val="center"/>
        <w:rPr>
          <w:rFonts w:ascii="Century Gothic" w:hAnsi="Century Gothic" w:cs="Century Gothic"/>
          <w:sz w:val="18"/>
          <w:szCs w:val="18"/>
        </w:rPr>
      </w:pPr>
    </w:p>
    <w:p w14:paraId="768CAC10" w14:textId="7F4331A8" w:rsidR="007C1B09" w:rsidRDefault="000268A9" w:rsidP="007C1B09">
      <w:pPr>
        <w:tabs>
          <w:tab w:val="left" w:pos="0"/>
        </w:tabs>
        <w:ind w:firstLine="6120"/>
        <w:jc w:val="center"/>
        <w:rPr>
          <w:rFonts w:ascii="Century Gothic" w:hAnsi="Century Gothic" w:cs="Century Gothic"/>
          <w:sz w:val="18"/>
          <w:szCs w:val="18"/>
        </w:rPr>
      </w:pPr>
      <w:r>
        <w:rPr>
          <w:rFonts w:ascii="Century Gothic" w:hAnsi="Century Gothic" w:cs="Century Gothic"/>
          <w:sz w:val="18"/>
          <w:szCs w:val="18"/>
        </w:rPr>
        <w:t xml:space="preserve">             </w:t>
      </w:r>
      <w:r w:rsidR="007C1B09">
        <w:rPr>
          <w:rFonts w:ascii="Century Gothic" w:hAnsi="Century Gothic" w:cs="Century Gothic"/>
          <w:sz w:val="18"/>
          <w:szCs w:val="18"/>
        </w:rPr>
        <w:t>mgr Aniela Bekier-Jasińska</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5146" w14:textId="77777777" w:rsidR="00367416" w:rsidRDefault="00367416">
      <w:r>
        <w:separator/>
      </w:r>
    </w:p>
  </w:endnote>
  <w:endnote w:type="continuationSeparator" w:id="0">
    <w:p w14:paraId="456CAA8F" w14:textId="77777777" w:rsidR="00367416" w:rsidRDefault="0036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3780" w14:textId="77777777" w:rsidR="00367416" w:rsidRDefault="00367416">
      <w:r>
        <w:separator/>
      </w:r>
    </w:p>
  </w:footnote>
  <w:footnote w:type="continuationSeparator" w:id="0">
    <w:p w14:paraId="1E7BEA01" w14:textId="77777777" w:rsidR="00367416" w:rsidRDefault="00367416">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34EC"/>
    <w:rsid w:val="0000407A"/>
    <w:rsid w:val="00006F1D"/>
    <w:rsid w:val="00007D0C"/>
    <w:rsid w:val="0001031A"/>
    <w:rsid w:val="00010384"/>
    <w:rsid w:val="00014473"/>
    <w:rsid w:val="000206AD"/>
    <w:rsid w:val="00020A39"/>
    <w:rsid w:val="00021355"/>
    <w:rsid w:val="00021853"/>
    <w:rsid w:val="00022668"/>
    <w:rsid w:val="00022B9E"/>
    <w:rsid w:val="00022E8D"/>
    <w:rsid w:val="00023235"/>
    <w:rsid w:val="00024188"/>
    <w:rsid w:val="000244B1"/>
    <w:rsid w:val="000247E2"/>
    <w:rsid w:val="00024C82"/>
    <w:rsid w:val="000268A9"/>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8F1"/>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3A4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6D0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5D1"/>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67416"/>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25F"/>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62D"/>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3F64"/>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35B3"/>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0E0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59CB"/>
    <w:rsid w:val="00696C55"/>
    <w:rsid w:val="006970D5"/>
    <w:rsid w:val="00697C12"/>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BA0"/>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1B09"/>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2E6"/>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098"/>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622"/>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A7823"/>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075"/>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51B"/>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7A3"/>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63AD"/>
    <w:rsid w:val="00A072B0"/>
    <w:rsid w:val="00A075B6"/>
    <w:rsid w:val="00A07FF6"/>
    <w:rsid w:val="00A10BA7"/>
    <w:rsid w:val="00A11037"/>
    <w:rsid w:val="00A1166A"/>
    <w:rsid w:val="00A1183E"/>
    <w:rsid w:val="00A126E4"/>
    <w:rsid w:val="00A13ECF"/>
    <w:rsid w:val="00A1404E"/>
    <w:rsid w:val="00A1442F"/>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65715"/>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2242"/>
    <w:rsid w:val="00A839AD"/>
    <w:rsid w:val="00A86A13"/>
    <w:rsid w:val="00A877AA"/>
    <w:rsid w:val="00A90423"/>
    <w:rsid w:val="00A934E5"/>
    <w:rsid w:val="00A93CE0"/>
    <w:rsid w:val="00A94A99"/>
    <w:rsid w:val="00A95718"/>
    <w:rsid w:val="00A959A7"/>
    <w:rsid w:val="00A96F49"/>
    <w:rsid w:val="00AA0F48"/>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C01"/>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C7370"/>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2F2D"/>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27BD"/>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DE8"/>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1A8"/>
    <w:rsid w:val="00FA45F8"/>
    <w:rsid w:val="00FA47A4"/>
    <w:rsid w:val="00FA4AE8"/>
    <w:rsid w:val="00FA520A"/>
    <w:rsid w:val="00FA6505"/>
    <w:rsid w:val="00FA6B63"/>
    <w:rsid w:val="00FA7F11"/>
    <w:rsid w:val="00FB0428"/>
    <w:rsid w:val="00FB05DF"/>
    <w:rsid w:val="00FB0A07"/>
    <w:rsid w:val="00FB10E3"/>
    <w:rsid w:val="00FB176C"/>
    <w:rsid w:val="00FB185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2E495C7E-9927-482E-BAC1-375D0F4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5811</Words>
  <Characters>34866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a</cp:lastModifiedBy>
  <cp:revision>3</cp:revision>
  <cp:lastPrinted>2024-12-09T11:23:00Z</cp:lastPrinted>
  <dcterms:created xsi:type="dcterms:W3CDTF">2024-12-09T11:12:00Z</dcterms:created>
  <dcterms:modified xsi:type="dcterms:W3CDTF">2024-12-09T11:33:00Z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