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642B8C8" w14:textId="77777777" w:rsidR="00126AC0" w:rsidRDefault="00DF312E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8"/>
        </w:rPr>
        <w:t>Budowa ścieżki pieszo – rowerowej przy drodze powiatowej nr 3036P na odcinku Budzisław Kościelny - Nieborzyn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(nr </w:t>
      </w:r>
      <w:r>
        <w:rPr>
          <w:rFonts w:ascii="Arial" w:hAnsi="Arial" w:cs="Arial"/>
          <w:bCs/>
          <w:sz w:val="22"/>
          <w:szCs w:val="22"/>
        </w:rPr>
        <w:t>postępowania: ZDP.ZZ.3302.13.2023)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t>i </w:t>
      </w:r>
      <w:r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Default="00DF312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Dokument 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Default="00DF312E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126AC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26AC0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ZDP Konin</cp:lastModifiedBy>
  <cp:revision>10</cp:revision>
  <dcterms:created xsi:type="dcterms:W3CDTF">2023-05-26T07:35:00Z</dcterms:created>
  <dcterms:modified xsi:type="dcterms:W3CDTF">2023-10-26T07:39:00Z</dcterms:modified>
  <dc:language>pl-PL</dc:language>
</cp:coreProperties>
</file>